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440101-2023-13685</w:t>
      </w:r>
    </w:p>
    <w:p>
      <w:pPr>
        <w:jc w:val="center"/>
      </w:pPr>
      <w:r>
        <w:rPr>
          <w:b/>
          <w:sz w:val="24"/>
        </w:rPr>
        <w:t>采购项目编号：</w:t>
      </w:r>
      <w:r>
        <w:rPr>
          <w:b/>
          <w:sz w:val="24"/>
        </w:rPr>
        <w:t>GDPS-2023GDG5001</w:t>
      </w:r>
    </w:p>
    <w:p>
      <w:pPr>
        <w:jc w:val="center"/>
      </w:pPr>
      <w:r>
        <w:rPr>
          <w:b/>
          <w:sz w:val="24"/>
        </w:rPr>
        <w:t>项目名称：</w:t>
      </w:r>
      <w:r>
        <w:rPr>
          <w:b/>
          <w:sz w:val="24"/>
        </w:rPr>
        <w:t>广州市大气污染源VOCs泄漏监测能力建设项目</w:t>
      </w:r>
    </w:p>
    <w:p>
      <w:pPr>
        <w:jc w:val="center"/>
      </w:pPr>
      <w:r>
        <w:rPr>
          <w:b/>
          <w:sz w:val="24"/>
        </w:rPr>
        <w:t>采购人：</w:t>
      </w:r>
      <w:r>
        <w:rPr>
          <w:b/>
          <w:sz w:val="24"/>
        </w:rPr>
        <w:t>广东省广州生态环境监测中心站</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第一章投标邀请</w:t>
      </w:r>
    </w:p>
    <w:p>
      <w:pPr>
        <w:ind w:firstLine="480"/>
      </w:pPr>
      <w:r>
        <w:rPr/>
        <w:t>广东品尚招标有限公司</w:t>
      </w:r>
      <w:r>
        <w:rPr/>
        <w:t>受</w:t>
      </w:r>
      <w:r>
        <w:rPr/>
        <w:t>广东省广州生态环境监测中心站</w:t>
      </w:r>
      <w:r>
        <w:rPr/>
        <w:t>的委托，采用</w:t>
      </w:r>
      <w:r>
        <w:rPr/>
        <w:t>公开招标</w:t>
      </w:r>
      <w:r>
        <w:rPr/>
        <w:t>方式组织采购</w:t>
      </w:r>
      <w:r>
        <w:rPr/>
        <w:t>广州市大气污染源VOCs泄漏监测能力建设项目</w:t>
      </w:r>
      <w:r>
        <w:rPr/>
        <w:t>。欢迎符合资格条件的国内供应商参加投标。</w:t>
      </w:r>
    </w:p>
    <w:p>
      <w:r>
        <w:rPr>
          <w:b/>
          <w:sz w:val="28"/>
        </w:rPr>
        <w:t>一.项目概述</w:t>
      </w:r>
    </w:p>
    <w:p>
      <w:r>
        <w:rPr>
          <w:b/>
          <w:sz w:val="24"/>
        </w:rPr>
        <w:t>1.名称与编号</w:t>
      </w:r>
    </w:p>
    <w:p>
      <w:pPr>
        <w:ind w:firstLine="480"/>
      </w:pPr>
      <w:r>
        <w:rPr/>
        <w:t>项目名称：</w:t>
      </w:r>
      <w:r>
        <w:rPr/>
        <w:t>广州市大气污染源VOCs泄漏监测能力建设项目</w:t>
      </w:r>
    </w:p>
    <w:p>
      <w:pPr>
        <w:ind w:firstLine="480"/>
      </w:pPr>
      <w:r>
        <w:rPr/>
        <w:t>采购计划编号：</w:t>
      </w:r>
      <w:r>
        <w:rPr/>
        <w:t>440101-2023-13685</w:t>
      </w:r>
    </w:p>
    <w:p>
      <w:pPr>
        <w:ind w:firstLine="480"/>
      </w:pPr>
      <w:r>
        <w:rPr/>
        <w:t>采购项目编号：</w:t>
      </w:r>
      <w:r>
        <w:rPr/>
        <w:t>GDPS-2023GDG5001</w:t>
      </w:r>
    </w:p>
    <w:p>
      <w:pPr>
        <w:ind w:firstLine="480"/>
      </w:pPr>
      <w:r>
        <w:rPr/>
        <w:t>采购方式：</w:t>
      </w:r>
      <w:r>
        <w:rPr/>
        <w:t>公开招标</w:t>
      </w:r>
    </w:p>
    <w:p>
      <w:pPr>
        <w:ind w:firstLine="480"/>
      </w:pPr>
      <w:r>
        <w:rPr/>
        <w:t>预算金额：</w:t>
      </w:r>
      <w:r>
        <w:rPr/>
        <w:t>1,000,000.00</w:t>
      </w:r>
      <w:r>
        <w:rPr/>
        <w:t>元</w:t>
      </w:r>
    </w:p>
    <w:p>
      <w:r>
        <w:rPr>
          <w:b/>
          <w:sz w:val="24"/>
        </w:rPr>
        <w:t>2.项目内容及需求情况（采购项目技术规格、参数及要求）</w:t>
      </w:r>
    </w:p>
    <w:p>
      <w:pPr>
        <w:ind w:firstLine="480"/>
      </w:pPr>
    </w:p>
    <w:p/>
    <w:p>
      <w:r>
        <w:rPr/>
        <w:t>采购包1(广州市大气污染源VOCs泄漏监测能力建设项目仪器):</w:t>
      </w:r>
    </w:p>
    <w:p>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环境监测仪器及综合分析装置</w:t>
            </w:r>
          </w:p>
        </w:tc>
        <w:tc>
          <w:tcPr>
            <w:tcW w:type="dxa" w:w="2136"/>
          </w:tcPr>
          <w:p>
            <w:r>
              <w:rPr/>
              <w:t>红外热成像气体泄漏检测仪</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合同履行期限：合同履行至所有设备质保期完为止。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2）有依法缴纳税收和社会保障资金的良好记录：提供签署及盖章合格的《投标函》。</w:t>
      </w:r>
    </w:p>
    <w:p/>
    <w:p>
      <w:r>
        <w:rPr/>
        <w:t>3）具有良好的商业信誉和健全的财务会计制度：提供签署及盖章合格的《投标函》。</w:t>
      </w:r>
    </w:p>
    <w:p/>
    <w:p>
      <w:r>
        <w:rPr/>
        <w:t>4）履行合同所必需的设备和专业技术能力：提供签署及盖章合格的《投标函》。</w:t>
      </w:r>
    </w:p>
    <w:p/>
    <w:p>
      <w:r>
        <w:rPr/>
        <w:t>5）参加采购活动前3年内，在经营活动中没有重大违法记录：提供签署及盖章合格的《投标函》。</w:t>
      </w:r>
    </w:p>
    <w:p/>
    <w:p>
      <w:r>
        <w:rPr>
          <w:b/>
          <w:sz w:val="24"/>
        </w:rPr>
        <w:t>2.落实政府采购政策需满足的资格要求：</w:t>
      </w:r>
    </w:p>
    <w:p>
      <w:pPr>
        <w:ind w:firstLine="480"/>
      </w:pPr>
    </w:p>
    <w:p>
      <w:pPr>
        <w:jc w:val="left"/>
      </w:pPr>
    </w:p>
    <w:p>
      <w:r>
        <w:rPr/>
        <w:t>采购包1（广州市大气污染源VOCs泄漏监测能力建设项目仪器）：</w:t>
      </w:r>
      <w:r>
        <w:rPr/>
        <w:t>本项目不属于专门面向中小企业采购的项目。</w:t>
      </w:r>
    </w:p>
    <w:p/>
    <w:p>
      <w:r>
        <w:rPr>
          <w:b/>
          <w:sz w:val="24"/>
        </w:rPr>
        <w:t>3.本项目特定的资格要求：</w:t>
      </w:r>
    </w:p>
    <w:p>
      <w:pPr>
        <w:ind w:firstLine="480"/>
      </w:pPr>
    </w:p>
    <w:p/>
    <w:p>
      <w:r>
        <w:rPr/>
        <w:t>采购包1（广州市大气污染源VOCs泄漏监测能力建设项目仪器）：</w:t>
      </w:r>
    </w:p>
    <w:p/>
    <w:p>
      <w:r>
        <w:rPr/>
        <w:t>1)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采购代理机构于投标（响应）截止时间当天在“信用中国”网站（www.creditchina.gov.cn） 及中国政府采购网（http://www.ccgp.gov.cn/）查询结果为准，如相关失信记录已失效，供应商需提供相关证明资料。</w:t>
      </w:r>
    </w:p>
    <w:p/>
    <w:p>
      <w:r>
        <w:rPr/>
        <w:t>2)为采购项目提供整体设计、规范编制或者项目管理、监理、检测等服务的供应商，不得再参加该采购项目的其他采购活动：提供签署及盖章合格的《投标函》。</w:t>
      </w:r>
    </w:p>
    <w:p/>
    <w:p>
      <w:r>
        <w:rPr/>
        <w:t>3)单位负责人为同一人或者存在直接控股、管理关系的不同供应商，不得参加同一合同项下的政府采购活动：提供签署及盖章合格的《投标函》。</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广东省广州生态环境监测中心站</w:t>
      </w:r>
    </w:p>
    <w:p>
      <w:pPr>
        <w:ind w:firstLine="480"/>
      </w:pPr>
      <w:r>
        <w:rPr/>
        <w:t>地址：</w:t>
      </w:r>
      <w:r>
        <w:rPr/>
        <w:t>广州市番禺区大学城中心南大街19号</w:t>
      </w:r>
    </w:p>
    <w:p>
      <w:pPr>
        <w:ind w:firstLine="480"/>
      </w:pPr>
      <w:r>
        <w:rPr/>
        <w:t>联系方式：</w:t>
      </w:r>
      <w:r>
        <w:rPr/>
        <w:t>020-83354889</w:t>
      </w:r>
    </w:p>
    <w:p>
      <w:r>
        <w:rPr>
          <w:b/>
          <w:sz w:val="24"/>
        </w:rPr>
        <w:t>2.采购代理机构信息</w:t>
      </w:r>
    </w:p>
    <w:p>
      <w:pPr>
        <w:ind w:firstLine="480"/>
      </w:pPr>
      <w:r>
        <w:rPr/>
        <w:t>名称：</w:t>
      </w:r>
      <w:r>
        <w:rPr/>
        <w:t>广东品尚招标有限公司</w:t>
      </w:r>
    </w:p>
    <w:p>
      <w:pPr>
        <w:ind w:firstLine="480"/>
      </w:pPr>
      <w:r>
        <w:rPr/>
        <w:t>地址：</w:t>
      </w:r>
      <w:r>
        <w:rPr/>
        <w:t>广东省广州市越秀区北京街道</w:t>
      </w:r>
    </w:p>
    <w:p>
      <w:pPr>
        <w:ind w:firstLine="480"/>
      </w:pPr>
      <w:r>
        <w:rPr/>
        <w:t>联系方式：</w:t>
      </w:r>
      <w:r>
        <w:rPr/>
        <w:t>020-83636971</w:t>
      </w:r>
    </w:p>
    <w:p>
      <w:r>
        <w:rPr>
          <w:b/>
          <w:sz w:val="24"/>
        </w:rPr>
        <w:t>3.项目联系方式</w:t>
      </w:r>
    </w:p>
    <w:p>
      <w:pPr>
        <w:ind w:firstLine="480"/>
      </w:pPr>
      <w:r>
        <w:rPr/>
        <w:t>项目联系人：</w:t>
      </w:r>
      <w:r>
        <w:rPr/>
        <w:t>杨将欣</w:t>
      </w:r>
    </w:p>
    <w:p>
      <w:pPr>
        <w:ind w:firstLine="480"/>
      </w:pPr>
      <w:r>
        <w:rPr/>
        <w:t>电话：</w:t>
      </w:r>
      <w:r>
        <w:rPr/>
        <w:t>020-83636971</w:t>
      </w:r>
    </w:p>
    <w:p>
      <w:r>
        <w:rPr>
          <w:b/>
          <w:sz w:val="24"/>
        </w:rPr>
        <w:t>4.技术支持联系方式</w:t>
      </w:r>
    </w:p>
    <w:p>
      <w:pPr>
        <w:ind w:firstLine="480"/>
      </w:pPr>
      <w:r>
        <w:rPr/>
        <w:t>云平台联系方式：020-88696588</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（一）项目基本情况</w:t>
      </w:r>
    </w:p>
    <w:p>
      <w:pPr>
        <w:ind w:firstLine="420"/>
        <w:jc w:val="both"/>
      </w:pPr>
      <w:r>
        <w:rPr>
          <w:sz w:val="21"/>
        </w:rPr>
        <w:t>本项目总预算为</w:t>
      </w:r>
      <w:r>
        <w:rPr>
          <w:sz w:val="21"/>
        </w:rPr>
        <w:t>100</w:t>
      </w:r>
      <w:r>
        <w:rPr>
          <w:sz w:val="21"/>
        </w:rPr>
        <w:t>万元，购置大气污染源</w:t>
      </w:r>
      <w:r>
        <w:rPr>
          <w:sz w:val="21"/>
        </w:rPr>
        <w:t>VOCs</w:t>
      </w:r>
      <w:r>
        <w:rPr>
          <w:sz w:val="21"/>
        </w:rPr>
        <w:t>泄漏监测设备。</w:t>
      </w:r>
    </w:p>
    <w:p>
      <w:pPr>
        <w:ind w:firstLine="422"/>
        <w:jc w:val="both"/>
      </w:pPr>
      <w:r>
        <w:rPr>
          <w:b/>
          <w:sz w:val="21"/>
        </w:rPr>
        <w:t>（二）政府采购政策落实情况</w:t>
      </w:r>
    </w:p>
    <w:p>
      <w:pPr>
        <w:ind w:firstLine="420"/>
        <w:jc w:val="both"/>
      </w:pPr>
      <w:r>
        <w:rPr>
          <w:sz w:val="21"/>
        </w:rPr>
        <w:t>本项目为非专门面向中小企业采购的项目。</w:t>
      </w:r>
    </w:p>
    <w:p>
      <w:pPr>
        <w:ind w:firstLine="422"/>
        <w:jc w:val="both"/>
      </w:pPr>
      <w:r>
        <w:rPr>
          <w:b/>
          <w:sz w:val="21"/>
        </w:rPr>
        <w:t>（三）项目内容</w:t>
      </w:r>
    </w:p>
    <w:tbl>
      <w:tblPr>
        <w:tblW w:w="0" w:type="auto"/>
        <w:tblBorders>
          <w:top w:val="none" w:color="000000" w:sz="4"/>
          <w:left w:val="none" w:color="000000" w:sz="4"/>
          <w:bottom w:val="none" w:color="000000" w:sz="4"/>
          <w:right w:val="none" w:color="000000" w:sz="4"/>
          <w:insideH w:val="none"/>
          <w:insideV w:val="none"/>
        </w:tblBorders>
      </w:tblPr>
      <w:tblGrid>
        <w:gridCol w:w="798"/>
        <w:gridCol w:w="2267"/>
        <w:gridCol w:w="889"/>
        <w:gridCol w:w="1542"/>
        <w:gridCol w:w="1523"/>
        <w:gridCol w:w="1288"/>
      </w:tblGrid>
      <w:tr>
        <w:tc>
          <w:tcPr>
            <w:tcW w:type="dxa" w:w="79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67"/>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889"/>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542"/>
            <w:tcBorders>
              <w:top w:val="single" w:color="000000" w:sz="4"/>
              <w:left w:val="single" w:color="000000" w:sz="4"/>
              <w:bottom w:val="single" w:color="000000" w:sz="4"/>
              <w:right w:val="single" w:color="000000" w:sz="4"/>
            </w:tcBorders>
            <w:vAlign w:val="top"/>
          </w:tcPr>
          <w:p>
            <w:pPr>
              <w:jc w:val="center"/>
            </w:pPr>
            <w:r>
              <w:rPr>
                <w:sz w:val="21"/>
              </w:rPr>
              <w:t>单价限价（万元）</w:t>
            </w:r>
          </w:p>
        </w:tc>
        <w:tc>
          <w:tcPr>
            <w:tcW w:type="dxa" w:w="1523"/>
            <w:tcBorders>
              <w:top w:val="single" w:color="000000" w:sz="4"/>
              <w:left w:val="single" w:color="000000" w:sz="4"/>
              <w:bottom w:val="single" w:color="000000" w:sz="4"/>
              <w:right w:val="single" w:color="000000" w:sz="4"/>
            </w:tcBorders>
            <w:vAlign w:val="top"/>
          </w:tcPr>
          <w:p>
            <w:pPr>
              <w:jc w:val="center"/>
            </w:pPr>
            <w:r>
              <w:rPr>
                <w:sz w:val="21"/>
              </w:rPr>
              <w:t>总价限价（万元）</w:t>
            </w:r>
          </w:p>
        </w:tc>
        <w:tc>
          <w:tcPr>
            <w:tcW w:type="dxa" w:w="1288"/>
            <w:tcBorders>
              <w:top w:val="single" w:color="000000" w:sz="4"/>
              <w:left w:val="single" w:color="000000" w:sz="4"/>
              <w:bottom w:val="single" w:color="000000" w:sz="4"/>
              <w:right w:val="single" w:color="000000" w:sz="4"/>
            </w:tcBorders>
            <w:vAlign w:val="top"/>
          </w:tcPr>
          <w:p>
            <w:pPr>
              <w:jc w:val="center"/>
            </w:pPr>
            <w:r>
              <w:rPr>
                <w:sz w:val="21"/>
              </w:rPr>
              <w:t>采购标的所属行业</w:t>
            </w:r>
          </w:p>
        </w:tc>
      </w:tr>
      <w:tr>
        <w:tc>
          <w:tcPr>
            <w:tcW w:type="dxa" w:w="7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67"/>
            <w:tcBorders>
              <w:top w:val="none" w:color="000000" w:sz="4"/>
              <w:left w:val="single" w:color="000000" w:sz="4"/>
              <w:bottom w:val="single" w:color="000000" w:sz="4"/>
              <w:right w:val="single" w:color="000000" w:sz="4"/>
            </w:tcBorders>
            <w:vAlign w:val="top"/>
          </w:tcPr>
          <w:p>
            <w:pPr>
              <w:jc w:val="center"/>
            </w:pPr>
            <w:r>
              <w:rPr>
                <w:sz w:val="21"/>
              </w:rPr>
              <w:t>红外热成像气体泄漏检测仪</w:t>
            </w:r>
          </w:p>
        </w:tc>
        <w:tc>
          <w:tcPr>
            <w:tcW w:type="dxa" w:w="88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42"/>
            <w:tcBorders>
              <w:top w:val="none" w:color="000000" w:sz="4"/>
              <w:left w:val="single" w:color="000000" w:sz="4"/>
              <w:bottom w:val="single" w:color="000000" w:sz="4"/>
              <w:right w:val="single" w:color="000000" w:sz="4"/>
            </w:tcBorders>
            <w:vAlign w:val="top"/>
          </w:tcPr>
          <w:p>
            <w:pPr>
              <w:jc w:val="center"/>
            </w:pPr>
            <w:r>
              <w:rPr>
                <w:sz w:val="21"/>
              </w:rPr>
              <w:t>1</w:t>
            </w:r>
            <w:r>
              <w:rPr>
                <w:sz w:val="21"/>
              </w:rPr>
              <w:t>00</w:t>
            </w:r>
          </w:p>
        </w:tc>
        <w:tc>
          <w:tcPr>
            <w:tcW w:type="dxa" w:w="1523"/>
            <w:tcBorders>
              <w:top w:val="none" w:color="000000" w:sz="4"/>
              <w:left w:val="single" w:color="000000" w:sz="4"/>
              <w:bottom w:val="single" w:color="000000" w:sz="4"/>
              <w:right w:val="single" w:color="000000" w:sz="4"/>
            </w:tcBorders>
            <w:vAlign w:val="top"/>
          </w:tcPr>
          <w:p>
            <w:pPr>
              <w:jc w:val="center"/>
            </w:pPr>
            <w:r>
              <w:rPr>
                <w:sz w:val="21"/>
              </w:rPr>
              <w:t>1</w:t>
            </w:r>
            <w:r>
              <w:rPr>
                <w:sz w:val="21"/>
              </w:rPr>
              <w:t>00</w:t>
            </w:r>
          </w:p>
        </w:tc>
        <w:tc>
          <w:tcPr>
            <w:tcW w:type="dxa" w:w="1288"/>
            <w:tcBorders>
              <w:top w:val="none" w:color="000000" w:sz="4"/>
              <w:left w:val="single" w:color="000000" w:sz="4"/>
              <w:bottom w:val="single" w:color="000000" w:sz="4"/>
              <w:right w:val="single" w:color="000000" w:sz="4"/>
            </w:tcBorders>
            <w:vAlign w:val="top"/>
          </w:tcPr>
          <w:p>
            <w:pPr>
              <w:jc w:val="center"/>
            </w:pPr>
            <w:r>
              <w:rPr>
                <w:sz w:val="21"/>
              </w:rPr>
              <w:t>工业</w:t>
            </w:r>
          </w:p>
        </w:tc>
      </w:tr>
    </w:tbl>
    <w:p/>
    <w:p>
      <w:pPr>
        <w:ind w:firstLine="480"/>
      </w:pPr>
    </w:p>
    <w:p/>
    <w:p>
      <w:r>
        <w:rPr/>
        <w:t>采购包1（广州市大气污染源VOCs泄漏监测能力建设项目仪器）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合同签订后60个自然日内完成供货。</w:t>
            </w:r>
          </w:p>
        </w:tc>
      </w:tr>
      <w:tr>
        <w:tc>
          <w:tcPr>
            <w:tcW w:type="dxa" w:w="4153"/>
          </w:tcPr>
          <w:p>
            <w:r>
              <w:rPr/>
              <w:t>标的提供的地点</w:t>
            </w:r>
          </w:p>
        </w:tc>
        <w:tc>
          <w:tcPr>
            <w:tcW w:type="dxa" w:w="4153"/>
          </w:tcPr>
          <w:p/>
          <w:p>
            <w:r>
              <w:rPr/>
              <w:t>广州市内采购人指定地点。</w:t>
            </w:r>
          </w:p>
        </w:tc>
      </w:tr>
      <w:tr>
        <w:tc>
          <w:tcPr>
            <w:tcW w:type="dxa" w:w="4153"/>
          </w:tcPr>
          <w:p>
            <w:r>
              <w:rPr/>
              <w:t>付款方式</w:t>
            </w:r>
          </w:p>
        </w:tc>
        <w:tc>
          <w:tcPr>
            <w:tcW w:type="dxa" w:w="4153"/>
          </w:tcPr>
          <w:p/>
          <w:p/>
          <w:p>
            <w:r>
              <w:rPr/>
              <w:t>1期：支付比例50%,合同签定并收发票后，采购方于5个工作日内开始办理支付合同总金额50%的货款；</w:t>
            </w:r>
          </w:p>
          <w:p/>
          <w:p>
            <w:r>
              <w:rPr/>
              <w:t>2期：支付比例40%,仪器设备全部送至甲方现场，经清点签收并收到发票后，采购方于5个工作日内支付合同总额40%的货款；</w:t>
            </w:r>
          </w:p>
          <w:p/>
          <w:p>
            <w:r>
              <w:rPr/>
              <w:t>3期：支付比例10%,仪器设备安装调试完毕、验收合格并收到发票后，采购方于5个工作日内支付合同总额10%的货款。</w:t>
            </w:r>
          </w:p>
        </w:tc>
      </w:tr>
      <w:tr>
        <w:tc>
          <w:tcPr>
            <w:tcW w:type="dxa" w:w="4153"/>
          </w:tcPr>
          <w:p>
            <w:r>
              <w:rPr/>
              <w:t>验收要求</w:t>
            </w:r>
          </w:p>
        </w:tc>
        <w:tc>
          <w:tcPr>
            <w:tcW w:type="dxa" w:w="4153"/>
          </w:tcPr>
          <w:p/>
          <w:p/>
          <w:p/>
          <w:p>
            <w:r>
              <w:rPr/>
              <w:t>1期：1.验收时间及方式： 产品安装、调试完毕，监测仪器试运行正常后，由中标方提出验收申请，由采购方7个工作日内启动验收。 2.验收标准： （1）仪器设备验收时应通过政府依法设置的法定计量机构检定/校准合格。 （2）单、证齐全：应有产品合格证（或质量证明）、使用说明、保修证明、发票和其它应具有的单证。 （3）产品质量：应符合中华人民共和国国家安全质量标准、环保标准、行业标准。 （4）产品所有技术性能规格及参数：应符合招投标文件和合同所要求的技术标准及生产厂商公开的宣传资料和生产厂商官方网站宣传内容的标准要求。 （5）产品为全新未使用过的原厂合格正品（包括零部件），表面无划损、无任何缺陷隐患。 （6）不满足验收标准的，应免费更换产品直至通过验收。 3.验收费用 设备检定/校准所产生的费用以及验收所产生的所有费用由中标方承担。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1.培训要求，1.1中标人须到采购人使用现场提供运行、维护、故障排查与解决的技术培训，确保设备使用者能正常操作设备。</w:t>
            </w:r>
          </w:p>
          <w:p/>
          <w:p>
            <w:r>
              <w:rPr/>
              <w:t>2.质量保证，2.1设备质保期自设备完成验收之日起执行。对仪器至少提供不少于2年的质保期保修服务，在质保期内，如果仪器运行不正常，中标方应免费更换仪器和提供技术服务。并提供终身收费维修服务。 2.2因设备的质量问题而发生争议，由广东省或广州市质检部门进行质量鉴定。设备符合质量标准的，鉴定费用由采购人承担；设备不符合质量标准的，鉴定费用由中标人承担。</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环境监测仪器及综合分析装置</w:t>
            </w:r>
          </w:p>
        </w:tc>
        <w:tc>
          <w:tcPr>
            <w:tcW w:type="dxa" w:w="831"/>
          </w:tcPr>
          <w:p>
            <w:pPr>
              <w:jc w:val="left"/>
            </w:pPr>
            <w:r>
              <w:rPr/>
              <w:t>红外热成像气体泄漏检测仪</w:t>
            </w:r>
          </w:p>
        </w:tc>
        <w:tc>
          <w:tcPr>
            <w:tcW w:type="dxa" w:w="831"/>
          </w:tcPr>
          <w:p>
            <w:pPr>
              <w:jc w:val="left"/>
            </w:pPr>
            <w:r>
              <w:rPr/>
              <w:t>台</w:t>
            </w:r>
          </w:p>
        </w:tc>
        <w:tc>
          <w:tcPr>
            <w:tcW w:type="dxa" w:w="831"/>
          </w:tcPr>
          <w:p>
            <w:pPr>
              <w:jc w:val="right"/>
            </w:pPr>
            <w:r>
              <w:rPr/>
              <w:t>1.00</w:t>
            </w:r>
          </w:p>
        </w:tc>
        <w:tc>
          <w:tcPr>
            <w:tcW w:type="dxa" w:w="831"/>
          </w:tcPr>
          <w:p>
            <w:pPr>
              <w:jc w:val="right"/>
            </w:pPr>
            <w:r>
              <w:rPr/>
              <w:t>1,000,000.00</w:t>
            </w:r>
          </w:p>
        </w:tc>
        <w:tc>
          <w:tcPr>
            <w:tcW w:type="dxa" w:w="831"/>
          </w:tcPr>
          <w:p>
            <w:pPr>
              <w:jc w:val="right"/>
            </w:pPr>
            <w:r>
              <w:rPr/>
              <w:t>1,000,000.00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红外热成像气体泄漏检测仪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（一）红外热成像气体泄漏检测仪</w:t>
            </w:r>
          </w:p>
          <w:p>
            <w:pPr>
              <w:jc w:val="both"/>
            </w:pPr>
            <w:r>
              <w:rPr>
                <w:b/>
                <w:sz w:val="21"/>
              </w:rPr>
              <w:t>1.</w:t>
            </w:r>
            <w:r>
              <w:rPr>
                <w:b/>
                <w:sz w:val="21"/>
              </w:rPr>
              <w:t>产品详细配置</w:t>
            </w:r>
          </w:p>
          <w:tbl>
            <w:tblPr>
              <w:tblBorders>
                <w:top w:val="none" w:color="000000" w:sz="4"/>
                <w:left w:val="none" w:color="000000" w:sz="4"/>
                <w:bottom w:val="none" w:color="000000" w:sz="4"/>
                <w:right w:val="none" w:color="000000" w:sz="4"/>
                <w:insideH w:val="none"/>
                <w:insideV w:val="none"/>
              </w:tblBorders>
            </w:tblPr>
            <w:tblGrid>
              <w:gridCol w:w="3119"/>
              <w:gridCol w:w="1358"/>
              <w:gridCol w:w="1094"/>
            </w:tblGrid>
            <w:tr>
              <w:tc>
                <w:tcPr>
                  <w:tcW w:type="dxa" w:w="3119"/>
                  <w:tcBorders>
                    <w:top w:val="single" w:color="000000" w:sz="4"/>
                    <w:left w:val="single" w:color="000000" w:sz="4"/>
                    <w:bottom w:val="single" w:color="000000" w:sz="4"/>
                    <w:right w:val="single" w:color="000000" w:sz="4"/>
                  </w:tcBorders>
                  <w:vAlign w:val="top"/>
                </w:tcPr>
                <w:p>
                  <w:pPr>
                    <w:jc w:val="center"/>
                  </w:pPr>
                  <w:r>
                    <w:rPr>
                      <w:sz w:val="21"/>
                    </w:rPr>
                    <w:t>配置</w:t>
                  </w:r>
                </w:p>
              </w:tc>
              <w:tc>
                <w:tcPr>
                  <w:tcW w:type="dxa" w:w="1358"/>
                  <w:tcBorders>
                    <w:top w:val="single" w:color="000000" w:sz="4"/>
                    <w:left w:val="single" w:color="000000" w:sz="4"/>
                    <w:bottom w:val="single" w:color="000000" w:sz="4"/>
                    <w:right w:val="single" w:color="000000" w:sz="4"/>
                  </w:tcBorders>
                  <w:vAlign w:val="top"/>
                </w:tcPr>
                <w:p>
                  <w:pPr>
                    <w:jc w:val="center"/>
                  </w:pPr>
                  <w:r>
                    <w:rPr>
                      <w:sz w:val="21"/>
                    </w:rPr>
                    <w:t>数量</w:t>
                  </w:r>
                  <w:r>
                    <w:rPr>
                      <w:sz w:val="21"/>
                    </w:rPr>
                    <w:t>/</w:t>
                  </w:r>
                  <w:r>
                    <w:rPr>
                      <w:sz w:val="21"/>
                    </w:rPr>
                    <w:t>单位</w:t>
                  </w:r>
                </w:p>
              </w:tc>
              <w:tc>
                <w:tcPr>
                  <w:tcW w:type="dxa" w:w="1094"/>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主机</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台</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专用锂电池</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3</w:t>
                  </w:r>
                  <w:r>
                    <w:rPr>
                      <w:sz w:val="21"/>
                    </w:rPr>
                    <w:t>块</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专用充电</w:t>
                  </w:r>
                  <w:r>
                    <w:rPr>
                      <w:sz w:val="21"/>
                    </w:rPr>
                    <w:t>电源适配器</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套</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USB</w:t>
                  </w:r>
                  <w:r>
                    <w:rPr>
                      <w:sz w:val="21"/>
                    </w:rPr>
                    <w:t>、</w:t>
                  </w:r>
                  <w:r>
                    <w:rPr>
                      <w:sz w:val="21"/>
                    </w:rPr>
                    <w:t>HDMI</w:t>
                  </w:r>
                  <w:r>
                    <w:rPr>
                      <w:sz w:val="21"/>
                    </w:rPr>
                    <w:t>等数据线</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套</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SD</w:t>
                  </w:r>
                  <w:r>
                    <w:rPr>
                      <w:sz w:val="21"/>
                    </w:rPr>
                    <w:t>卡和配套读卡器</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套</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维护清洁工具套装</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套</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仪器防护箱</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个</w:t>
                  </w:r>
                </w:p>
              </w:tc>
              <w:tc>
                <w:tcPr>
                  <w:tcW w:type="dxa" w:w="1094"/>
                  <w:tcBorders>
                    <w:top w:val="none" w:color="000000" w:sz="4"/>
                    <w:left w:val="single" w:color="000000" w:sz="4"/>
                    <w:bottom w:val="single" w:color="000000" w:sz="4"/>
                    <w:right w:val="single" w:color="000000" w:sz="4"/>
                  </w:tcBorders>
                  <w:vAlign w:val="top"/>
                </w:tcPr>
                <w:p>
                  <w:pPr>
                    <w:jc w:val="center"/>
                  </w:pPr>
                </w:p>
              </w:tc>
            </w:tr>
            <w:tr>
              <w:tc>
                <w:tcPr>
                  <w:tcW w:type="dxa" w:w="3119"/>
                  <w:tcBorders>
                    <w:top w:val="none" w:color="000000" w:sz="4"/>
                    <w:left w:val="single" w:color="000000" w:sz="4"/>
                    <w:bottom w:val="single" w:color="000000" w:sz="4"/>
                    <w:right w:val="single" w:color="000000" w:sz="4"/>
                  </w:tcBorders>
                  <w:vAlign w:val="top"/>
                </w:tcPr>
                <w:p>
                  <w:pPr>
                    <w:jc w:val="center"/>
                  </w:pPr>
                  <w:r>
                    <w:rPr>
                      <w:sz w:val="21"/>
                    </w:rPr>
                    <w:t>定量</w:t>
                  </w:r>
                  <w:r>
                    <w:rPr>
                      <w:sz w:val="21"/>
                    </w:rPr>
                    <w:t>模块装置</w:t>
                  </w:r>
                </w:p>
              </w:tc>
              <w:tc>
                <w:tcPr>
                  <w:tcW w:type="dxa" w:w="1358"/>
                  <w:tcBorders>
                    <w:top w:val="none" w:color="000000" w:sz="4"/>
                    <w:left w:val="single" w:color="000000" w:sz="4"/>
                    <w:bottom w:val="single" w:color="000000" w:sz="4"/>
                    <w:right w:val="single" w:color="000000" w:sz="4"/>
                  </w:tcBorders>
                  <w:vAlign w:val="top"/>
                </w:tcPr>
                <w:p>
                  <w:pPr>
                    <w:ind w:firstLine="480"/>
                    <w:jc w:val="both"/>
                  </w:pPr>
                  <w:r>
                    <w:rPr>
                      <w:sz w:val="21"/>
                    </w:rPr>
                    <w:t>1</w:t>
                  </w:r>
                  <w:r>
                    <w:rPr>
                      <w:sz w:val="21"/>
                    </w:rPr>
                    <w:t>套</w:t>
                  </w:r>
                </w:p>
              </w:tc>
              <w:tc>
                <w:tcPr>
                  <w:tcW w:type="dxa" w:w="1094"/>
                  <w:tcBorders>
                    <w:top w:val="none" w:color="000000" w:sz="4"/>
                    <w:left w:val="single" w:color="000000" w:sz="4"/>
                    <w:bottom w:val="single" w:color="000000" w:sz="4"/>
                    <w:right w:val="single" w:color="000000" w:sz="4"/>
                  </w:tcBorders>
                  <w:vAlign w:val="top"/>
                </w:tcPr>
                <w:p>
                  <w:pPr>
                    <w:jc w:val="center"/>
                  </w:pPr>
                </w:p>
              </w:tc>
            </w:tr>
          </w:tbl>
          <w:p>
            <w:pPr>
              <w:jc w:val="both"/>
            </w:pPr>
            <w:r>
              <w:rPr>
                <w:b/>
                <w:sz w:val="28"/>
              </w:rPr>
              <w:t>2.技术参数要求</w:t>
            </w:r>
          </w:p>
          <w:p>
            <w:r>
              <w:rPr/>
              <w:t>2.1基本要求</w:t>
            </w:r>
          </w:p>
          <w:p>
            <w:r>
              <w:rPr/>
              <w:t>2.1.1采用非接触的方式，以图像形式快速精准发现挥发性有机气体泄漏或排放点位；</w:t>
            </w:r>
          </w:p>
          <w:p>
            <w:r>
              <w:rPr/>
              <w:t>2.1.2具备中文操作界面，可在仪器主机上直接完成操作；</w:t>
            </w:r>
          </w:p>
          <w:p>
            <w:r>
              <w:rPr/>
              <w:t>2.1.3仪器重量不超过3kg；</w:t>
            </w:r>
          </w:p>
          <w:p>
            <w:r>
              <w:rPr/>
              <w:t>2.1.4可录制红外视频和可见光视频；</w:t>
            </w:r>
          </w:p>
          <w:p>
            <w:r>
              <w:rPr/>
              <w:t>2.1.5具备图像截图拍摄功能；</w:t>
            </w:r>
          </w:p>
          <w:p>
            <w:r>
              <w:rPr/>
              <w:t xml:space="preserve">▲2.1.6主机具有防爆合格证书且防爆等级不低于ExicncopisIICT4Gc，需提供防爆合格证书复印件并加盖投标人公章； </w:t>
            </w:r>
          </w:p>
          <w:p>
            <w:r>
              <w:rPr/>
              <w:t>2.1.7防护等级不低于IP54；</w:t>
            </w:r>
          </w:p>
          <w:p>
            <w:r>
              <w:rPr/>
              <w:t>2.1.8可充电电池，单块电池（充满电）连续工作时间≥3.5小时；</w:t>
            </w:r>
          </w:p>
          <w:p>
            <w:r>
              <w:rPr/>
              <w:t>2.1.9可检测挥发性有机气体包含但不限于：甲烷、乙烷、丙烷、丁烷、戊烷、己烷、辛烷、庚烷、乙烯、丙烯、苯、甲苯、二甲苯、乙苯、甲醇、乙醇、异戊二烯等。</w:t>
            </w:r>
          </w:p>
          <w:p>
            <w:r>
              <w:rPr/>
              <w:t>2.2探测器参数</w:t>
            </w:r>
          </w:p>
          <w:p>
            <w:r>
              <w:rPr/>
              <w:t>2.2.1采用制冷型二类超晶格类型探测器；</w:t>
            </w:r>
          </w:p>
          <w:p>
            <w:r>
              <w:rPr/>
              <w:t>2.2.2探测器分辨率：≥320×256；</w:t>
            </w:r>
          </w:p>
          <w:p>
            <w:r>
              <w:rPr/>
              <w:t>2.2.3工作波长范围：3.2~3.5μm；</w:t>
            </w:r>
          </w:p>
          <w:p>
            <w:r>
              <w:rPr/>
              <w:t>▲2.2.4热灵敏度：≤10mK（提供第三方检测机构出具的CMA或CNAS检测报告复印件、或其他能佐证所投仪器满足本参数要求的材料并加盖投标人公章）。</w:t>
            </w:r>
          </w:p>
          <w:p>
            <w:r>
              <w:rPr/>
              <w:t>2.3气体成像参数</w:t>
            </w:r>
          </w:p>
          <w:p>
            <w:r>
              <w:rPr/>
              <w:t>2.3.1具有可见光图像、红外图像、高灵敏度红外图像三种模式；</w:t>
            </w:r>
          </w:p>
          <w:p>
            <w:r>
              <w:rPr/>
              <w:t>2.3.2图像调色板不少于12种；</w:t>
            </w:r>
          </w:p>
          <w:p>
            <w:r>
              <w:rPr/>
              <w:t>2.3.3变焦：1~8倍变焦。</w:t>
            </w:r>
          </w:p>
          <w:p>
            <w:r>
              <w:rPr/>
              <w:t>2.4测量温度性能</w:t>
            </w:r>
          </w:p>
          <w:p>
            <w:r>
              <w:rPr/>
              <w:t>2.4.1测温范围：-20℃～+350℃；</w:t>
            </w:r>
          </w:p>
          <w:p>
            <w:r>
              <w:rPr/>
              <w:t>2.4.2测温精度：在0℃～+100℃内，精度≤±1℃，在+100℃以上，精度≤±2%。</w:t>
            </w:r>
          </w:p>
          <w:p>
            <w:r>
              <w:rPr/>
              <w:t>2.5图像显示参数</w:t>
            </w:r>
          </w:p>
          <w:p>
            <w:r>
              <w:rPr/>
              <w:t>▲2.5.1显示屏不少于5英寸，可旋转，分辨率≥1280×720（提供产品说明书、或厂家彩页、或实物照片及示意图、其他佐证材料并加盖投标人公章）；</w:t>
            </w:r>
          </w:p>
          <w:p>
            <w:r>
              <w:rPr/>
              <w:t>2.5.2自动或手动两种方式调整图像的对比度、亮度；</w:t>
            </w:r>
          </w:p>
          <w:p>
            <w:r>
              <w:rPr/>
              <w:t>2.6可见光摄像头：不低于500万像素CMOS，带补光灯。</w:t>
            </w:r>
          </w:p>
          <w:p>
            <w:r>
              <w:rPr/>
              <w:t>2.7视频存储支持SD卡存储，存储容量≥64G。</w:t>
            </w:r>
          </w:p>
          <w:p>
            <w:r>
              <w:rPr/>
              <w:t>2.8定量模块装置</w:t>
            </w:r>
          </w:p>
          <w:p>
            <w:r>
              <w:rPr/>
              <w:t>▲2.8.1配备FID检测器和PID检测器两种检测器（提供产品说明书、或厂家彩页、或实物照片及示意图、其他佐证材料并加盖投标人公章）；</w:t>
            </w:r>
          </w:p>
          <w:p>
            <w:r>
              <w:rPr/>
              <w:t>2.8.2可通过红外热成像气体泄漏检测仪的屏幕显示定量模块装置的FID检测器和PID检测器的检测数据；</w:t>
            </w:r>
          </w:p>
          <w:p>
            <w:r>
              <w:rPr/>
              <w:t>2.8.3可实时测量并显示VOCs浓度值，定量模块装置可进行启动点火、浓度校准、背景值扣除、数据查询等操作；</w:t>
            </w:r>
          </w:p>
          <w:p>
            <w:r>
              <w:rPr/>
              <w:t>▲2.8.4安全要求：为保障产品的安全性，定量模块装置具有防爆合格证，通过防爆安全检验认证，具有功能安全认证。（提供所投仪器该配套装置的防爆合格证、或防爆产品认证证书、或SIL认证证书并加盖投标人公章）；</w:t>
            </w:r>
          </w:p>
          <w:p>
            <w:r>
              <w:rPr/>
              <w:t>▲2.8.5氢气气源采用以下两种方式之一：</w:t>
            </w:r>
          </w:p>
          <w:p>
            <w:r>
              <w:rPr/>
              <w:t>（1）小型储氢合金瓶，可使用氢气发生器供气储存，氢气发生器原料为纯净水，需提供一个氢气发生器和三个储氢合金瓶；</w:t>
            </w:r>
          </w:p>
          <w:p>
            <w:r>
              <w:rPr/>
              <w:t>（2）内置氢气发生器，无需反复拆装，以纯净水为原料，即产即用（提供产品说明书、或厂家彩页、或实物照片及示意图、其他佐证材料并加盖投标人公章）。</w:t>
            </w:r>
          </w:p>
          <w:p>
            <w:r>
              <w:rPr/>
              <w:t>2.8.6参数要求</w:t>
            </w:r>
          </w:p>
          <w:p>
            <w:r>
              <w:rPr/>
              <w:t>2.8.6.1准确度：FID：优于读数的±10%或±3ppm，取大值。PID：优于读数的±20%或±0.5ppm，取大值；</w:t>
            </w:r>
          </w:p>
          <w:p>
            <w:r>
              <w:rPr/>
              <w:t>2.8.6.2量程范围：FID：0-30000ppm，PID：0.5-2000ppm；</w:t>
            </w:r>
          </w:p>
          <w:p>
            <w:r>
              <w:rPr/>
              <w:t>2.8.6.3最低检出限：FID：0.5ppm，PID：0.5ppm；</w:t>
            </w:r>
          </w:p>
          <w:p>
            <w:r>
              <w:rPr/>
              <w:t>2.8.6.4响应时间：FID：在5秒内达到最终读数的90%，PID：在5秒内达到最终读数的90%；</w:t>
            </w:r>
          </w:p>
          <w:p>
            <w:r>
              <w:rPr/>
              <w:t>2.8.6.5电池：充电电池，充满电可连接工作时间≥3.5小时。</w:t>
            </w:r>
          </w:p>
        </w:tc>
      </w:tr>
      <w:tr>
        <w:tc>
          <w:tcPr>
            <w:tcW w:type="dxa" w:w="2076"/>
          </w:tcPr>
          <w:p>
            <w:r>
              <w:rPr/>
              <w:t>▲</w:t>
            </w:r>
          </w:p>
        </w:tc>
        <w:tc>
          <w:tcPr>
            <w:tcW w:type="dxa" w:w="415"/>
          </w:tcPr>
          <w:p>
            <w:r>
              <w:rPr/>
              <w:t>2</w:t>
            </w:r>
          </w:p>
        </w:tc>
        <w:tc>
          <w:tcPr>
            <w:tcW w:type="dxa" w:w="5814"/>
          </w:tcPr>
          <w:p>
            <w:pPr>
              <w:ind w:firstLine="480"/>
              <w:jc w:val="both"/>
            </w:pPr>
            <w:r>
              <w:rPr/>
              <w:t xml:space="preserve"> </w:t>
            </w:r>
          </w:p>
          <w:p>
            <w:r>
              <w:rPr/>
              <w:t xml:space="preserve"> </w:t>
            </w:r>
          </w:p>
          <w:p>
            <w:r>
              <w:rPr/>
              <w:t xml:space="preserve"> </w:t>
            </w:r>
          </w:p>
          <w:p>
            <w:r>
              <w:rPr/>
              <w:t>2.1.6主机具有防爆合格证书且防爆等级不低于ExicncopisIICT4Gc，需提供防爆合格证书复印件并加盖投标人公章；</w:t>
            </w:r>
          </w:p>
          <w:p>
            <w:r>
              <w:rPr/>
              <w:t>2.2.4热灵敏度：≤10mK（提供第三方检测机构出具的CMA或CNAS检测报告复印件、或其他能佐证所投仪器满足本参数要求的材料并加盖投标人公章）。</w:t>
            </w:r>
          </w:p>
          <w:p>
            <w:r>
              <w:rPr/>
              <w:t>2.5.1显示屏不少于5英寸，可旋转，分辨率≥1280×720（提供产品说明书、或厂家彩页、或实物照片及示意图、其他佐证材料并加盖投标人公章）；</w:t>
            </w:r>
          </w:p>
          <w:p>
            <w:r>
              <w:rPr/>
              <w:t>2.8.1配备FID检测器和PID检测器两种检测器（提供产品说明书、或厂家彩页、或实物照片及示意图、其他佐证材料并加盖投标人公章）；</w:t>
            </w:r>
          </w:p>
          <w:p>
            <w:r>
              <w:rPr/>
              <w:t>2.8.4安全要求：为保障产品的安全性，定量模块装置具有防爆合格证，通过防爆安全检验认证，具有功能安全认证。（提供所投仪器该配套装置的防爆合格证、或防爆产品认证证书、或SIL认证证书并加盖投标人公章）；</w:t>
            </w:r>
          </w:p>
          <w:p>
            <w:r>
              <w:rPr/>
              <w:t>2.8.5氢气气源采用以下两种方式之一：</w:t>
            </w:r>
          </w:p>
          <w:p>
            <w:r>
              <w:rPr/>
              <w:t>（1）小型储氢合金瓶，可使用氢气发生器供气储存，氢气发生器原料为纯净水，需提供一个氢气发生器和三个储氢合金瓶；</w:t>
            </w:r>
          </w:p>
          <w:p>
            <w:r>
              <w:rPr/>
              <w:t>（2）内置氢气发生器，无需反复拆装，以纯净水为原料，即产即用（提供产品说明书、或厂家彩页、或实物照片及示意图、其他佐证材料并加盖投标人公章）。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1.采购代理机构：本项目是指广东品尚招标有限公司，负责整个采购活动的组织，依法负责编制和发布招标文件，对招标文件拥有最终的解释权，不以任何身份出任评标委员会成员。</w:t>
      </w:r>
    </w:p>
    <w:p>
      <w:pPr>
        <w:ind w:firstLine="480"/>
      </w:pPr>
      <w:r>
        <w:rPr/>
        <w:t>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采购机构代理服务收费标准：参照广州市工程招标代理行业协会关于印发《广州市招标代理服务费计费规则》的通知（穗招代理协[2017]号）执行。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纸质投标文件及备用电子响应文件的递交，1、递交时间：投标截止时间前递交  2、递交地点：广州市越秀区西湖路12号广百商务大厦（旧翼）1902-1903室广东品尚招标有限公司  3、递交方式：现场方式或邮递方式递交，如采用邮递方式递交，供应商须保证在投标截止时间前寄达递交地点（以邮递签收时间为准），收件人：游先生，联系电话：13688883922</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冯先生</w:t>
      </w:r>
    </w:p>
    <w:p>
      <w:pPr>
        <w:ind w:firstLine="480"/>
      </w:pPr>
      <w:r>
        <w:rPr/>
        <w:t>电话：</w:t>
      </w:r>
      <w:r>
        <w:rPr/>
        <w:t>020-83636971</w:t>
      </w:r>
    </w:p>
    <w:p>
      <w:pPr>
        <w:ind w:firstLine="480"/>
      </w:pPr>
      <w:r>
        <w:rPr/>
        <w:t>传真：</w:t>
      </w:r>
      <w:r>
        <w:rPr/>
        <w:t>020-83636971</w:t>
      </w:r>
    </w:p>
    <w:p>
      <w:pPr>
        <w:ind w:firstLine="480"/>
      </w:pPr>
      <w:r>
        <w:rPr/>
        <w:t>邮箱：</w:t>
      </w:r>
      <w:r>
        <w:rPr/>
        <w:t>gdpszb@163.com</w:t>
      </w:r>
    </w:p>
    <w:p>
      <w:pPr>
        <w:ind w:firstLine="480"/>
      </w:pPr>
      <w:r>
        <w:rPr/>
        <w:t>地址：</w:t>
      </w:r>
      <w:r>
        <w:rPr/>
        <w:t>广州市越秀区西湖路12号广百商务楼1902-1903房</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大气污染源VOCs泄漏监测能力建设项目仪器)：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广东品尚招标有限公司</w:t>
      </w:r>
      <w:r>
        <w:rPr/>
        <w:t>统一对外发布。</w:t>
      </w:r>
    </w:p>
    <w:p>
      <w:pPr>
        <w:ind w:firstLine="480"/>
      </w:pPr>
      <w:r>
        <w:rPr/>
        <w:t>（2）对</w:t>
      </w:r>
      <w:r>
        <w:rPr/>
        <w:t>广东品尚招标有限公司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采购包1（广州市大气污染源VOCs泄漏监测能力建设项目仪器）：</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采购包1（广州市大气污染源VOCs泄漏监测能力建设项目仪器）：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提供签署及盖章合格的《投标函》。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政府采购严重违法失信行为记录名单或重大税收违法失信主体”记录名单；不处于中国政府采购网(www.ccgp.gov.cn)“政府采购严重违法失信行为信息记录”中的禁止参加政府采购活动期间。（以采购代理机构于投标（响应）截止时间当天在“信用中国”网站（www.creditchina.gov.cn） 及中国政府采购网（http://www.ccgp.gov.cn/）查询结果为准，如相关失信记录已失效，供应商需提供相关证明资料。</w:t>
            </w:r>
          </w:p>
        </w:tc>
      </w:tr>
      <w:tr>
        <w:tc>
          <w:tcPr>
            <w:tcW w:type="dxa" w:w="890"/>
          </w:tcPr>
          <w:p>
            <w:r>
              <w:rPr/>
              <w:t>7</w:t>
            </w:r>
          </w:p>
        </w:tc>
        <w:tc>
          <w:tcPr>
            <w:tcW w:type="dxa" w:w="3178"/>
          </w:tcPr>
          <w:p>
            <w:r>
              <w:rPr/>
              <w:t>其他资质</w:t>
            </w:r>
          </w:p>
        </w:tc>
        <w:tc>
          <w:tcPr>
            <w:tcW w:type="dxa" w:w="4238"/>
          </w:tcPr>
          <w:p>
            <w:r>
              <w:rPr/>
              <w:t>为采购项目提供整体设计、规范编制或者项目管理、监理、检测等服务的供应商，不得再参加该采购项目的其他采购活动：提供签署及盖章合格的《投标函》。</w:t>
            </w:r>
          </w:p>
        </w:tc>
      </w:tr>
      <w:tr>
        <w:tc>
          <w:tcPr>
            <w:tcW w:type="dxa" w:w="890"/>
          </w:tcPr>
          <w:p>
            <w:r>
              <w:rPr/>
              <w:t>8</w:t>
            </w:r>
          </w:p>
        </w:tc>
        <w:tc>
          <w:tcPr>
            <w:tcW w:type="dxa" w:w="3178"/>
          </w:tcPr>
          <w:p>
            <w:r>
              <w:rPr/>
              <w:t>其他资质</w:t>
            </w:r>
          </w:p>
        </w:tc>
        <w:tc>
          <w:tcPr>
            <w:tcW w:type="dxa" w:w="4238"/>
          </w:tcPr>
          <w:p>
            <w:r>
              <w:rPr/>
              <w:t>单位负责人为同一人或者存在直接控股、管理关系的不同供应商，不得参加同一合同项下的政府采购活动：提供签署及盖章合格的《投标函》。</w:t>
            </w:r>
          </w:p>
        </w:tc>
      </w:tr>
      <w:tr>
        <w:tc>
          <w:tcPr>
            <w:tcW w:type="dxa" w:w="890"/>
          </w:tcPr>
          <w:p>
            <w:r>
              <w:rPr/>
              <w:t>9</w:t>
            </w:r>
          </w:p>
        </w:tc>
        <w:tc>
          <w:tcPr>
            <w:tcW w:type="dxa" w:w="3178"/>
          </w:tcPr>
          <w:p>
            <w:r>
              <w:rPr/>
              <w:t>其他资质</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采购包1（广州市大气污染源VOCs泄漏监测能力建设项目仪器）：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符合投标有效期要求</w:t>
            </w:r>
          </w:p>
        </w:tc>
      </w:tr>
      <w:tr>
        <w:tc>
          <w:tcPr>
            <w:tcW w:type="dxa" w:w="890"/>
          </w:tcPr>
          <w:p>
            <w:r>
              <w:rPr/>
              <w:t>2</w:t>
            </w:r>
          </w:p>
        </w:tc>
        <w:tc>
          <w:tcPr>
            <w:tcW w:type="dxa" w:w="3178"/>
          </w:tcPr>
          <w:p>
            <w:r>
              <w:rPr/>
              <w:t>投标文件签署、盖章要求</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投标报价是固定价且是唯一的，投标报价没有超出最高限价</w:t>
            </w:r>
          </w:p>
        </w:tc>
      </w:tr>
      <w:tr>
        <w:tc>
          <w:tcPr>
            <w:tcW w:type="dxa" w:w="890"/>
          </w:tcPr>
          <w:p>
            <w:r>
              <w:rPr/>
              <w:t>4</w:t>
            </w:r>
          </w:p>
        </w:tc>
        <w:tc>
          <w:tcPr>
            <w:tcW w:type="dxa" w:w="3178"/>
          </w:tcPr>
          <w:p>
            <w:r>
              <w:rPr/>
              <w:t>其他</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采购包1(广州市大气污染源VOCs泄漏监测能力建设项目仪器):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设备一般性技术参数响应程度 (10.0分)</w:t>
            </w:r>
            <w:r>
              <w:rPr/>
              <w:t>，（等次分值选择：</w:t>
            </w:r>
            <w:r>
              <w:rPr/>
              <w:t>0.0;</w:t>
            </w:r>
            <w:r>
              <w:rPr/>
              <w:t>2.0;</w:t>
            </w:r>
            <w:r>
              <w:rPr/>
              <w:t>4.0;</w:t>
            </w:r>
            <w:r>
              <w:rPr/>
              <w:t>6.0;</w:t>
            </w:r>
            <w:r>
              <w:rPr/>
              <w:t>8.0;</w:t>
            </w:r>
            <w:r>
              <w:rPr/>
              <w:t>10.0;</w:t>
            </w:r>
            <w:r>
              <w:rPr/>
              <w:t>）</w:t>
            </w:r>
          </w:p>
        </w:tc>
        <w:tc>
          <w:tcPr>
            <w:tcW w:type="dxa" w:w="5076"/>
          </w:tcPr>
          <w:p>
            <w:pPr>
              <w:jc w:val="left"/>
            </w:pPr>
            <w:r>
              <w:rPr/>
              <w:t>根据投标人的“▲”以外的其他技术参数响应情况，对照《采购需求》要求进行评审。 完全响应或优于招标文件要求得10分； 有1个技术参数或性能要求不满足得8分； 有2-3个技术参数或性能要求不满足得6分； 有4-5个技术参数或性能要求不满足得4分； 有6-7个技术参数或性能要求不满足得2分； 有8个或以上技术参数或性能要求不满足不得分。</w:t>
            </w:r>
          </w:p>
        </w:tc>
      </w:tr>
      <w:tr>
        <w:tc>
          <w:tcPr>
            <w:tcW w:type="dxa" w:w="922"/>
            <w:gridSpan w:val="2"/>
            <w:vMerge/>
          </w:tcPr>
          <w:p/>
        </w:tc>
        <w:tc>
          <w:tcPr>
            <w:tcW w:type="dxa" w:w="2307"/>
          </w:tcPr>
          <w:p>
            <w:pPr>
              <w:jc w:val="left"/>
            </w:pPr>
            <w:r>
              <w:rPr/>
              <w:t>设备重要技术参数响应程度 (24.0分)</w:t>
            </w:r>
          </w:p>
        </w:tc>
        <w:tc>
          <w:tcPr>
            <w:tcW w:type="dxa" w:w="5076"/>
          </w:tcPr>
          <w:p>
            <w:pPr>
              <w:jc w:val="left"/>
            </w:pPr>
            <w:r>
              <w:rPr/>
              <w:t>完全响应采购需求的标注“▲”的设备重要技术参数，得24分；“▲”号的参数每负偏离一项扣4分，扣完本项分值为止。 注：对于“▲”技术条款，投标人须提供投标产品的“彩页”或“使用说明书”或相关证明材料等（如采购需求中有要求提供证明材料的则按相应要求提供），否则视该条款为“负偏离”。证明文件如为英文版，请同时提供中文版。</w:t>
            </w:r>
          </w:p>
        </w:tc>
      </w:tr>
      <w:tr>
        <w:tc>
          <w:tcPr>
            <w:tcW w:type="dxa" w:w="922"/>
            <w:gridSpan w:val="2"/>
            <w:vMerge/>
          </w:tcPr>
          <w:p/>
        </w:tc>
        <w:tc>
          <w:tcPr>
            <w:tcW w:type="dxa" w:w="2307"/>
          </w:tcPr>
          <w:p>
            <w:pPr>
              <w:jc w:val="left"/>
            </w:pPr>
            <w:r>
              <w:rPr/>
              <w:t>技术可靠性 (6.0分)</w:t>
            </w:r>
          </w:p>
        </w:tc>
        <w:tc>
          <w:tcPr>
            <w:tcW w:type="dxa" w:w="5076"/>
          </w:tcPr>
          <w:p>
            <w:pPr>
              <w:jc w:val="left"/>
            </w:pPr>
            <w:r>
              <w:rPr/>
              <w:t>投标产品的技术可靠性（根据各投标人所投产品的设备性能、材料工艺、历史应用情况等进行评价，投标人应在投标文件中设置专节来对下述三项内容作出响应性说明，并提供产品详细情况说明）  1.所投产品设备性能描述详实，设备方便携带，性能高超，满足采购需求的，得2分；设备性能描述详实，设备方便携带，性能基本满足采购需求的，得1分；设备性能描述不详实的，无法满足采购需求的或不提供的不得分。 2.所投产品材料工艺精良，关键部件使用优质材料，满足使用要求的，得2分；材料工艺基本满足关键部件使用材料，基本满足使用要求的，得1分；材料工艺粗糙，关键部件使用粗糙材料，不能满足使用要求的及不提供的不得分。 3.所投产品历史应用情况合理，有具体的应用案例，可靠性满足要求的，得2分；所投产品历史基本符合应用情况，应用案例少，可靠性基本满足要求的，得1分；所投产品无应用案例，无法判断可靠性的或不提供的不得分。</w:t>
            </w:r>
          </w:p>
        </w:tc>
      </w:tr>
      <w:tr>
        <w:tc>
          <w:tcPr>
            <w:tcW w:type="dxa" w:w="922"/>
            <w:gridSpan w:val="2"/>
            <w:vMerge/>
          </w:tcPr>
          <w:p/>
        </w:tc>
        <w:tc>
          <w:tcPr>
            <w:tcW w:type="dxa" w:w="2307"/>
          </w:tcPr>
          <w:p>
            <w:pPr>
              <w:jc w:val="left"/>
            </w:pPr>
            <w:r>
              <w:rPr/>
              <w:t>安装、调试和验收方案 (5.0分)</w:t>
            </w:r>
            <w:r>
              <w:rPr/>
              <w:t>，（等次分值选择：</w:t>
            </w:r>
            <w:r>
              <w:rPr/>
              <w:t>0.0;</w:t>
            </w:r>
            <w:r>
              <w:rPr/>
              <w:t>1.0;</w:t>
            </w:r>
            <w:r>
              <w:rPr/>
              <w:t>3.0;</w:t>
            </w:r>
            <w:r>
              <w:rPr/>
              <w:t>5.0;</w:t>
            </w:r>
            <w:r>
              <w:rPr/>
              <w:t>）</w:t>
            </w:r>
          </w:p>
        </w:tc>
        <w:tc>
          <w:tcPr>
            <w:tcW w:type="dxa" w:w="5076"/>
          </w:tcPr>
          <w:p>
            <w:pPr>
              <w:jc w:val="left"/>
            </w:pPr>
            <w:r>
              <w:rPr/>
              <w:t>根据投标人的安装、调试和验收方案进行评分： 1、设备安装、调试和验收方案完全满足采购需求，保障措施详细、合理可行，得5分； 2、设备安装、调试和验收方案基本满足采购需求，保障措施基本详细、合理，得3分； 3、设备安装、调试和验收方案有部分偏离采购需求，有保障措施但不全，得1分； 4、设备安装、调试和验收方案部分偏离采购需求，保障措施不合理或无的，不得分。</w:t>
            </w:r>
          </w:p>
        </w:tc>
      </w:tr>
      <w:tr>
        <w:tc>
          <w:tcPr>
            <w:tcW w:type="dxa" w:w="922"/>
            <w:gridSpan w:val="2"/>
            <w:vMerge/>
          </w:tcPr>
          <w:p/>
        </w:tc>
        <w:tc>
          <w:tcPr>
            <w:tcW w:type="dxa" w:w="2307"/>
          </w:tcPr>
          <w:p>
            <w:pPr>
              <w:jc w:val="left"/>
            </w:pPr>
            <w:r>
              <w:rPr/>
              <w:t>培训方案 (5.0分)</w:t>
            </w:r>
            <w:r>
              <w:rPr/>
              <w:t>，（等次分值选择：</w:t>
            </w:r>
            <w:r>
              <w:rPr/>
              <w:t>0.0;</w:t>
            </w:r>
            <w:r>
              <w:rPr/>
              <w:t>2.0;</w:t>
            </w:r>
            <w:r>
              <w:rPr/>
              <w:t>5.0;</w:t>
            </w:r>
            <w:r>
              <w:rPr/>
              <w:t>）</w:t>
            </w:r>
          </w:p>
        </w:tc>
        <w:tc>
          <w:tcPr>
            <w:tcW w:type="dxa" w:w="5076"/>
          </w:tcPr>
          <w:p>
            <w:pPr>
              <w:jc w:val="left"/>
            </w:pPr>
            <w:r>
              <w:rPr/>
              <w:t>为采购方提供中文操作手册并培训操作人员，其中包括讲解产品的结构以及原理、产品的使用以及维护保养、产品故障排除等完全满足采购需求的要求，提供的培训方案科学，合理，得5分； 为采购方提供中文操作手册并培训操作人员，其中包括讲解产品的结构以及原理、产品的使用以及维护保养、产品故障排除等基本满足采购需求的要求，提供的培训方案较科学，较合理，得2分； 提供的培训方案不合理或不提供培训方案不得分。</w:t>
            </w:r>
          </w:p>
        </w:tc>
      </w:tr>
      <w:tr>
        <w:tc>
          <w:tcPr>
            <w:tcW w:type="dxa" w:w="922"/>
            <w:gridSpan w:val="2"/>
            <w:vMerge w:val="restart"/>
          </w:tcPr>
          <w:p>
            <w:pPr>
              <w:jc w:val="center"/>
            </w:pPr>
            <w:r>
              <w:rPr/>
              <w:t>商务部分</w:t>
            </w:r>
          </w:p>
        </w:tc>
        <w:tc>
          <w:tcPr>
            <w:tcW w:type="dxa" w:w="2307"/>
          </w:tcPr>
          <w:p>
            <w:pPr>
              <w:jc w:val="left"/>
            </w:pPr>
            <w:r>
              <w:rPr/>
              <w:t>同类业绩 (5.0分)</w:t>
            </w:r>
          </w:p>
        </w:tc>
        <w:tc>
          <w:tcPr>
            <w:tcW w:type="dxa" w:w="5076"/>
          </w:tcPr>
          <w:p>
            <w:pPr>
              <w:jc w:val="left"/>
            </w:pPr>
            <w:r>
              <w:rPr/>
              <w:t>投标人自2020年1月以来具有同类项目经验，每提供一项得1分，本项最高5分。 【注：同类项目为销售同类型环境监测分析设备或实验室分析设备的项目。提供合同的复印件及使用单位的验收证明，项目时间以合同签订时间为准；验收证明格式自拟，须加盖客户单位公章。无或不按要求提供不得分。】</w:t>
            </w:r>
          </w:p>
        </w:tc>
      </w:tr>
      <w:tr>
        <w:tc>
          <w:tcPr>
            <w:tcW w:type="dxa" w:w="922"/>
            <w:gridSpan w:val="2"/>
            <w:vMerge/>
          </w:tcPr>
          <w:p/>
        </w:tc>
        <w:tc>
          <w:tcPr>
            <w:tcW w:type="dxa" w:w="2307"/>
          </w:tcPr>
          <w:p>
            <w:pPr>
              <w:jc w:val="left"/>
            </w:pPr>
            <w:r>
              <w:rPr/>
              <w:t>客户满意度 (3.0分)</w:t>
            </w:r>
          </w:p>
        </w:tc>
        <w:tc>
          <w:tcPr>
            <w:tcW w:type="dxa" w:w="5076"/>
          </w:tcPr>
          <w:p>
            <w:pPr>
              <w:jc w:val="left"/>
            </w:pPr>
            <w:r>
              <w:rPr/>
              <w:t>投标人销售本项目相同设备或同类型设备，收到客户“满意”或“非常满意”或相当于类似评价的，每一项得1分，本项最高得3分，不提供不得分。 【注：须提供设备使用单位的评价证明及销售证明（销售证明是指有效的合同或协议或发票其中之一的复印件；评价证明格式自拟，须加盖客户单位公章。无或不按要求提供不得分。】</w:t>
            </w:r>
          </w:p>
        </w:tc>
      </w:tr>
      <w:tr>
        <w:tc>
          <w:tcPr>
            <w:tcW w:type="dxa" w:w="922"/>
            <w:gridSpan w:val="2"/>
            <w:vMerge/>
          </w:tcPr>
          <w:p/>
        </w:tc>
        <w:tc>
          <w:tcPr>
            <w:tcW w:type="dxa" w:w="2307"/>
          </w:tcPr>
          <w:p>
            <w:pPr>
              <w:jc w:val="left"/>
            </w:pPr>
            <w:r>
              <w:rPr/>
              <w:t>服务便利性 (3.0分)</w:t>
            </w:r>
            <w:r>
              <w:rPr/>
              <w:t>，（等次分值选择：</w:t>
            </w:r>
            <w:r>
              <w:rPr/>
              <w:t>0.0;</w:t>
            </w:r>
            <w:r>
              <w:rPr/>
              <w:t>1.0;</w:t>
            </w:r>
            <w:r>
              <w:rPr/>
              <w:t>2.0;</w:t>
            </w:r>
            <w:r>
              <w:rPr/>
              <w:t>3.0;</w:t>
            </w:r>
            <w:r>
              <w:rPr/>
              <w:t>）</w:t>
            </w:r>
          </w:p>
        </w:tc>
        <w:tc>
          <w:tcPr>
            <w:tcW w:type="dxa" w:w="5076"/>
          </w:tcPr>
          <w:p>
            <w:pPr>
              <w:jc w:val="left"/>
            </w:pPr>
            <w:r>
              <w:rPr/>
              <w:t>设有或承诺设置售后服务点，并有售后人员，保证售后人员在收到采购人通知后1小时内（含1小时）到现场处理，得3分； 设有或承诺设置售后服务点，并有售后人员，保证售后人员在收到采购人通知后2小时内（含2小时）到现场处理，得2分； 设有或承诺设置售后服务点，并有售后人员，保证售后人员在收到采购人通知后2-3小时（含3小时不含2小时）到现场处理，得1分； 其他不符合以上情况的，得0分。 【注:需提供售后服务点的证明材料（常设机构的产权证明（或租赁合同或营业执照）复印件或提供设置常设机构的承诺函及选址情况，并对时间做出响应），否则均不得分。】</w:t>
            </w:r>
          </w:p>
        </w:tc>
      </w:tr>
      <w:tr>
        <w:tc>
          <w:tcPr>
            <w:tcW w:type="dxa" w:w="922"/>
            <w:gridSpan w:val="2"/>
            <w:vMerge/>
          </w:tcPr>
          <w:p/>
        </w:tc>
        <w:tc>
          <w:tcPr>
            <w:tcW w:type="dxa" w:w="2307"/>
          </w:tcPr>
          <w:p>
            <w:pPr>
              <w:jc w:val="left"/>
            </w:pPr>
            <w:r>
              <w:rPr/>
              <w:t>投标人综合能力 (4.0分)</w:t>
            </w:r>
          </w:p>
        </w:tc>
        <w:tc>
          <w:tcPr>
            <w:tcW w:type="dxa" w:w="5076"/>
          </w:tcPr>
          <w:p>
            <w:pPr>
              <w:jc w:val="left"/>
            </w:pPr>
            <w:r>
              <w:rPr/>
              <w:t>1、具有质量管理体系认证证书的，得2分； 2、具有环境管理体系认证证书的，得2分。 注：提供有效期内的证书复印件，并须同时提供在全国认证认可信息公共服务平台（http://cx.cnca.cn/）对体系证书的信息查询截图作为评审依据，未按上述要求提供证明材料或证书已失效或撤销或暂停的不得分。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根据投标人售后服务（质保服务、技术维护、升级服务、服务响应等）进行评分： 1、售后服务方案详细、合理可行，切合实际，完全满足采购要求，得5分； 2、售后服务方案基本详细，合理性、有一定可行性，基本为切合实际，满足采购要求，得3分； 3、售后服务方案模糊，合理性、可行性低，基本满足采购要求，得1分； 4、不符合上述要求或售后服务方案欠缺或无的，不得分。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1.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2.第二中标候选人报价高于第一中标候选人报价20％以上的，只推荐1名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left"/>
      </w:pPr>
      <w:r>
        <w:rPr>
          <w:sz w:val="28"/>
        </w:rPr>
        <w:t>合同编号：</w:t>
      </w:r>
    </w:p>
    <w:p>
      <w:pPr>
        <w:jc w:val="center"/>
      </w:pPr>
    </w:p>
    <w:p>
      <w:pPr>
        <w:jc w:val="both"/>
      </w:pPr>
    </w:p>
    <w:p>
      <w:pPr>
        <w:jc w:val="center"/>
      </w:pPr>
      <w:r>
        <w:rPr>
          <w:sz w:val="52"/>
        </w:rPr>
        <w:t>广东省广州生态环境监测中心站</w:t>
      </w:r>
    </w:p>
    <w:p>
      <w:pPr>
        <w:jc w:val="center"/>
      </w:pPr>
      <w:r>
        <w:rPr>
          <w:sz w:val="52"/>
        </w:rPr>
        <w:t>招</w:t>
      </w:r>
      <w:r>
        <w:rPr>
          <w:sz w:val="52"/>
        </w:rPr>
        <w:t>标</w:t>
      </w:r>
      <w:r>
        <w:rPr>
          <w:sz w:val="52"/>
        </w:rPr>
        <w:t>合</w:t>
      </w:r>
      <w:r>
        <w:rPr>
          <w:sz w:val="52"/>
        </w:rPr>
        <w:t>同</w:t>
      </w:r>
    </w:p>
    <w:p>
      <w:pPr>
        <w:jc w:val="center"/>
      </w:pPr>
    </w:p>
    <w:p>
      <w:pPr>
        <w:jc w:val="center"/>
      </w:pPr>
    </w:p>
    <w:p>
      <w:pPr>
        <w:ind w:firstLine="848"/>
        <w:jc w:val="both"/>
      </w:pPr>
      <w:r>
        <w:rPr>
          <w:sz w:val="32"/>
        </w:rPr>
        <w:t>项目名称</w:t>
      </w:r>
      <w:r>
        <w:rPr>
          <w:sz w:val="28"/>
        </w:rPr>
        <w:t>：</w:t>
      </w:r>
      <w:r>
        <w:rPr>
          <w:sz w:val="21"/>
          <w:u w:val="single"/>
        </w:rPr>
        <w:t xml:space="preserve">                                    </w:t>
      </w:r>
    </w:p>
    <w:p>
      <w:pPr>
        <w:ind w:firstLine="476"/>
        <w:jc w:val="both"/>
      </w:pPr>
    </w:p>
    <w:p>
      <w:pPr>
        <w:ind w:firstLine="555"/>
        <w:jc w:val="both"/>
      </w:pPr>
      <w:r>
        <w:rPr>
          <w:sz w:val="21"/>
        </w:rPr>
        <w:t xml:space="preserve">  </w:t>
      </w:r>
      <w:r>
        <w:rPr>
          <w:sz w:val="32"/>
        </w:rPr>
        <w:t>需方（甲方）</w:t>
      </w:r>
      <w:r>
        <w:rPr>
          <w:sz w:val="28"/>
        </w:rPr>
        <w:t>：</w:t>
      </w:r>
      <w:r>
        <w:rPr>
          <w:sz w:val="21"/>
          <w:u w:val="single"/>
        </w:rPr>
        <w:t xml:space="preserve">                                 </w:t>
      </w:r>
    </w:p>
    <w:p>
      <w:pPr>
        <w:ind w:firstLine="555"/>
        <w:jc w:val="both"/>
      </w:pPr>
      <w:r>
        <w:rPr>
          <w:sz w:val="21"/>
        </w:rPr>
        <w:t xml:space="preserve">                                                </w:t>
      </w:r>
    </w:p>
    <w:p>
      <w:pPr>
        <w:ind w:firstLine="555"/>
        <w:jc w:val="both"/>
      </w:pPr>
      <w:r>
        <w:rPr>
          <w:sz w:val="21"/>
        </w:rPr>
        <w:t xml:space="preserve">  </w:t>
      </w:r>
      <w:r>
        <w:rPr>
          <w:sz w:val="32"/>
        </w:rPr>
        <w:t>供方（乙方）：</w:t>
      </w:r>
      <w:r>
        <w:rPr>
          <w:sz w:val="21"/>
          <w:u w:val="single"/>
        </w:rPr>
        <w:t xml:space="preserve">                                 </w:t>
      </w:r>
    </w:p>
    <w:p>
      <w:pPr>
        <w:jc w:val="both"/>
      </w:pPr>
    </w:p>
    <w:p>
      <w:pPr>
        <w:ind w:firstLine="800"/>
        <w:jc w:val="both"/>
      </w:pPr>
      <w:r>
        <w:rPr>
          <w:sz w:val="32"/>
        </w:rPr>
        <w:t>签订时间</w:t>
      </w:r>
      <w:r>
        <w:rPr>
          <w:sz w:val="28"/>
        </w:rPr>
        <w:t>：</w:t>
      </w:r>
      <w:r>
        <w:rPr>
          <w:sz w:val="21"/>
          <w:u w:val="single"/>
        </w:rPr>
        <w:t xml:space="preserve">                                     </w:t>
      </w:r>
    </w:p>
    <w:p>
      <w:pPr>
        <w:ind w:firstLine="555"/>
        <w:jc w:val="both"/>
      </w:pPr>
      <w:r>
        <w:rPr>
          <w:sz w:val="21"/>
        </w:rPr>
        <w:t xml:space="preserve">          </w:t>
      </w:r>
    </w:p>
    <w:p>
      <w:pPr>
        <w:ind w:firstLine="555"/>
        <w:jc w:val="both"/>
      </w:pPr>
      <w:r>
        <w:rPr>
          <w:sz w:val="21"/>
        </w:rPr>
        <w:t xml:space="preserve">  </w:t>
      </w:r>
      <w:r>
        <w:rPr>
          <w:sz w:val="32"/>
        </w:rPr>
        <w:t>签订地点</w:t>
      </w:r>
      <w:r>
        <w:rPr>
          <w:sz w:val="28"/>
        </w:rPr>
        <w:t>：</w:t>
      </w:r>
      <w:r>
        <w:rPr>
          <w:sz w:val="21"/>
          <w:u w:val="single"/>
        </w:rPr>
        <w:t xml:space="preserve">                                     </w:t>
      </w:r>
    </w:p>
    <w:p>
      <w:pPr>
        <w:ind w:firstLine="555"/>
        <w:jc w:val="both"/>
      </w:pPr>
    </w:p>
    <w:p>
      <w:pPr>
        <w:ind w:firstLine="555"/>
        <w:jc w:val="both"/>
      </w:pPr>
    </w:p>
    <w:p>
      <w:pPr>
        <w:jc w:val="both"/>
      </w:pPr>
      <w:r>
        <w:rPr>
          <w:sz w:val="21"/>
        </w:rPr>
        <w:t xml:space="preserve">    </w:t>
      </w:r>
    </w:p>
    <w:p>
      <w:pPr>
        <w:ind w:firstLine="240"/>
        <w:jc w:val="both"/>
      </w:pPr>
      <w:r>
        <w:rPr>
          <w:sz w:val="24"/>
        </w:rPr>
        <w:t>根据《中华人民共和国政府采购法》、《中华人民共和国民法典》以及</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日开标的</w:t>
      </w:r>
      <w:r>
        <w:rPr>
          <w:sz w:val="24"/>
          <w:u w:val="single"/>
        </w:rPr>
        <w:t xml:space="preserve"> </w:t>
      </w:r>
      <w:r>
        <w:rPr>
          <w:sz w:val="24"/>
          <w:u w:val="single"/>
        </w:rPr>
        <w:t>广州市大气污染源</w:t>
      </w:r>
      <w:r>
        <w:rPr>
          <w:sz w:val="24"/>
          <w:u w:val="single"/>
        </w:rPr>
        <w:t>VOCs泄漏监测能力建设项目</w:t>
      </w:r>
      <w:r>
        <w:rPr>
          <w:sz w:val="24"/>
        </w:rPr>
        <w:t>（招标编号：</w:t>
      </w:r>
      <w:r>
        <w:rPr>
          <w:sz w:val="24"/>
        </w:rPr>
        <w:t>GDPS-2023GDG5001）的要求，就甲方向乙方采购以下货物，经双方协商一致，签订本合同。</w:t>
      </w:r>
    </w:p>
    <w:p>
      <w:pPr>
        <w:jc w:val="both"/>
      </w:pPr>
      <w:r>
        <w:rPr>
          <w:sz w:val="24"/>
        </w:rPr>
        <w:t>1、货物</w:t>
      </w:r>
    </w:p>
    <w:p>
      <w:pPr>
        <w:ind w:firstLine="480"/>
        <w:jc w:val="both"/>
      </w:pPr>
      <w:r>
        <w:rPr>
          <w:sz w:val="24"/>
        </w:rPr>
        <w:t>货物名称、型号、规格、数量及交货时间</w:t>
      </w:r>
    </w:p>
    <w:tbl>
      <w:tblPr>
        <w:tblW w:w="0" w:type="auto"/>
        <w:tblBorders>
          <w:top w:val="none" w:color="000000" w:sz="4"/>
          <w:left w:val="none" w:color="000000" w:sz="4"/>
          <w:bottom w:val="none" w:color="000000" w:sz="4"/>
          <w:right w:val="none" w:color="000000" w:sz="4"/>
          <w:insideH w:val="none"/>
          <w:insideV w:val="none"/>
        </w:tblBorders>
      </w:tblPr>
      <w:tblGrid>
        <w:gridCol w:w="1194"/>
        <w:gridCol w:w="1194"/>
        <w:gridCol w:w="758"/>
        <w:gridCol w:w="1045"/>
        <w:gridCol w:w="733"/>
        <w:gridCol w:w="998"/>
        <w:gridCol w:w="1249"/>
        <w:gridCol w:w="1130"/>
      </w:tblGrid>
      <w:tr>
        <w:tc>
          <w:tcPr>
            <w:tcW w:type="dxa" w:w="1194"/>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194"/>
            <w:tcBorders>
              <w:top w:val="single" w:color="000000" w:sz="4"/>
              <w:left w:val="none" w:color="000000" w:sz="4"/>
              <w:bottom w:val="single" w:color="000000" w:sz="4"/>
              <w:right w:val="single" w:color="000000" w:sz="4"/>
            </w:tcBorders>
            <w:vAlign w:val="top"/>
          </w:tcPr>
          <w:p>
            <w:pPr>
              <w:jc w:val="center"/>
            </w:pPr>
            <w:r>
              <w:rPr>
                <w:sz w:val="24"/>
              </w:rPr>
              <w:t>货物</w:t>
            </w:r>
          </w:p>
          <w:p>
            <w:pPr>
              <w:jc w:val="center"/>
            </w:pPr>
            <w:r>
              <w:rPr>
                <w:sz w:val="24"/>
              </w:rPr>
              <w:t>名称</w:t>
            </w:r>
          </w:p>
        </w:tc>
        <w:tc>
          <w:tcPr>
            <w:tcW w:type="dxa" w:w="758"/>
            <w:tcBorders>
              <w:top w:val="single" w:color="000000" w:sz="4"/>
              <w:left w:val="none" w:color="000000" w:sz="4"/>
              <w:bottom w:val="single" w:color="000000" w:sz="4"/>
              <w:right w:val="single" w:color="000000" w:sz="4"/>
            </w:tcBorders>
            <w:vAlign w:val="top"/>
          </w:tcPr>
          <w:p>
            <w:pPr>
              <w:jc w:val="center"/>
            </w:pPr>
            <w:r>
              <w:rPr>
                <w:sz w:val="24"/>
              </w:rPr>
              <w:t>规格型号</w:t>
            </w:r>
          </w:p>
        </w:tc>
        <w:tc>
          <w:tcPr>
            <w:tcW w:type="dxa" w:w="1045"/>
            <w:tcBorders>
              <w:top w:val="single" w:color="000000" w:sz="4"/>
              <w:left w:val="none" w:color="000000" w:sz="4"/>
              <w:bottom w:val="single" w:color="000000" w:sz="4"/>
              <w:right w:val="single" w:color="000000" w:sz="4"/>
            </w:tcBorders>
            <w:vAlign w:val="top"/>
          </w:tcPr>
          <w:p>
            <w:pPr>
              <w:jc w:val="center"/>
            </w:pPr>
            <w:r>
              <w:rPr>
                <w:sz w:val="24"/>
              </w:rPr>
              <w:t>产地厂家</w:t>
            </w:r>
          </w:p>
        </w:tc>
        <w:tc>
          <w:tcPr>
            <w:tcW w:type="dxa" w:w="733"/>
            <w:tcBorders>
              <w:top w:val="single" w:color="000000" w:sz="4"/>
              <w:left w:val="none" w:color="000000" w:sz="4"/>
              <w:bottom w:val="single" w:color="000000" w:sz="4"/>
              <w:right w:val="single" w:color="000000" w:sz="4"/>
            </w:tcBorders>
            <w:vAlign w:val="top"/>
          </w:tcPr>
          <w:p>
            <w:pPr>
              <w:jc w:val="center"/>
            </w:pPr>
            <w:r>
              <w:rPr>
                <w:sz w:val="24"/>
              </w:rPr>
              <w:t>数量</w:t>
            </w:r>
          </w:p>
        </w:tc>
        <w:tc>
          <w:tcPr>
            <w:tcW w:type="dxa" w:w="998"/>
            <w:tcBorders>
              <w:top w:val="single" w:color="000000" w:sz="4"/>
              <w:left w:val="none" w:color="000000" w:sz="4"/>
              <w:bottom w:val="single" w:color="000000" w:sz="4"/>
              <w:right w:val="single" w:color="000000" w:sz="4"/>
            </w:tcBorders>
            <w:vAlign w:val="top"/>
          </w:tcPr>
          <w:p>
            <w:pPr>
              <w:jc w:val="center"/>
            </w:pPr>
            <w:r>
              <w:rPr>
                <w:sz w:val="24"/>
              </w:rPr>
              <w:t>单价</w:t>
            </w:r>
          </w:p>
        </w:tc>
        <w:tc>
          <w:tcPr>
            <w:tcW w:type="dxa" w:w="1249"/>
            <w:tcBorders>
              <w:top w:val="single" w:color="000000" w:sz="4"/>
              <w:left w:val="none" w:color="000000" w:sz="4"/>
              <w:bottom w:val="single" w:color="000000" w:sz="4"/>
              <w:right w:val="single" w:color="000000" w:sz="4"/>
            </w:tcBorders>
            <w:vAlign w:val="top"/>
          </w:tcPr>
          <w:p>
            <w:pPr>
              <w:jc w:val="center"/>
            </w:pPr>
            <w:r>
              <w:rPr>
                <w:sz w:val="24"/>
              </w:rPr>
              <w:t>总价</w:t>
            </w:r>
          </w:p>
        </w:tc>
        <w:tc>
          <w:tcPr>
            <w:tcW w:type="dxa" w:w="1130"/>
            <w:tcBorders>
              <w:top w:val="single" w:color="000000" w:sz="4"/>
              <w:left w:val="none" w:color="000000" w:sz="4"/>
              <w:bottom w:val="single" w:color="000000" w:sz="4"/>
              <w:right w:val="single" w:color="000000" w:sz="4"/>
            </w:tcBorders>
            <w:vAlign w:val="top"/>
          </w:tcPr>
          <w:p>
            <w:pPr>
              <w:jc w:val="center"/>
            </w:pPr>
            <w:r>
              <w:rPr>
                <w:sz w:val="24"/>
              </w:rPr>
              <w:t>交货</w:t>
            </w:r>
          </w:p>
          <w:p>
            <w:pPr>
              <w:jc w:val="center"/>
            </w:pPr>
            <w:r>
              <w:rPr>
                <w:sz w:val="24"/>
              </w:rPr>
              <w:t>时间</w:t>
            </w:r>
          </w:p>
        </w:tc>
      </w:tr>
      <w:tr>
        <w:tc>
          <w:tcPr>
            <w:tcW w:type="dxa" w:w="1194"/>
            <w:tcBorders>
              <w:top w:val="none" w:color="000000" w:sz="4"/>
              <w:left w:val="single" w:color="000000" w:sz="4"/>
              <w:bottom w:val="single" w:color="000000" w:sz="4"/>
              <w:right w:val="single" w:color="000000" w:sz="4"/>
            </w:tcBorders>
            <w:vAlign w:val="top"/>
          </w:tcPr>
          <w:p>
            <w:pPr>
              <w:jc w:val="center"/>
            </w:pPr>
          </w:p>
        </w:tc>
        <w:tc>
          <w:tcPr>
            <w:tcW w:type="dxa" w:w="1194"/>
            <w:tcBorders>
              <w:top w:val="none" w:color="000000" w:sz="4"/>
              <w:left w:val="none" w:color="000000" w:sz="4"/>
              <w:bottom w:val="single" w:color="000000" w:sz="4"/>
              <w:right w:val="single" w:color="000000" w:sz="4"/>
            </w:tcBorders>
            <w:vAlign w:val="top"/>
          </w:tcPr>
          <w:p>
            <w:pPr>
              <w:jc w:val="center"/>
            </w:pPr>
          </w:p>
        </w:tc>
        <w:tc>
          <w:tcPr>
            <w:tcW w:type="dxa" w:w="758"/>
            <w:tcBorders>
              <w:top w:val="none" w:color="000000" w:sz="4"/>
              <w:left w:val="none" w:color="000000" w:sz="4"/>
              <w:bottom w:val="single" w:color="000000" w:sz="4"/>
              <w:right w:val="single" w:color="000000" w:sz="4"/>
            </w:tcBorders>
            <w:vAlign w:val="top"/>
          </w:tcPr>
          <w:p>
            <w:pPr>
              <w:jc w:val="center"/>
            </w:pPr>
          </w:p>
        </w:tc>
        <w:tc>
          <w:tcPr>
            <w:tcW w:type="dxa" w:w="1045"/>
            <w:tcBorders>
              <w:top w:val="none" w:color="000000" w:sz="4"/>
              <w:left w:val="none" w:color="000000" w:sz="4"/>
              <w:bottom w:val="single" w:color="000000" w:sz="4"/>
              <w:right w:val="single" w:color="000000" w:sz="4"/>
            </w:tcBorders>
            <w:vAlign w:val="top"/>
          </w:tcPr>
          <w:p>
            <w:pPr>
              <w:jc w:val="center"/>
            </w:pPr>
          </w:p>
        </w:tc>
        <w:tc>
          <w:tcPr>
            <w:tcW w:type="dxa" w:w="733"/>
            <w:tcBorders>
              <w:top w:val="none" w:color="000000" w:sz="4"/>
              <w:left w:val="none" w:color="000000" w:sz="4"/>
              <w:bottom w:val="single" w:color="000000" w:sz="4"/>
              <w:right w:val="single" w:color="000000" w:sz="4"/>
            </w:tcBorders>
            <w:vAlign w:val="top"/>
          </w:tcPr>
          <w:p>
            <w:pPr>
              <w:jc w:val="center"/>
            </w:pPr>
          </w:p>
        </w:tc>
        <w:tc>
          <w:tcPr>
            <w:tcW w:type="dxa" w:w="998"/>
            <w:tcBorders>
              <w:top w:val="none" w:color="000000" w:sz="4"/>
              <w:left w:val="none" w:color="000000" w:sz="4"/>
              <w:bottom w:val="single" w:color="000000" w:sz="4"/>
              <w:right w:val="single" w:color="000000" w:sz="4"/>
            </w:tcBorders>
            <w:vAlign w:val="top"/>
          </w:tcPr>
          <w:p>
            <w:pPr>
              <w:jc w:val="center"/>
            </w:pPr>
          </w:p>
        </w:tc>
        <w:tc>
          <w:tcPr>
            <w:tcW w:type="dxa" w:w="1249"/>
            <w:tcBorders>
              <w:top w:val="none" w:color="000000" w:sz="4"/>
              <w:left w:val="none" w:color="000000" w:sz="4"/>
              <w:bottom w:val="single" w:color="000000" w:sz="4"/>
              <w:right w:val="single" w:color="000000" w:sz="4"/>
            </w:tcBorders>
            <w:vAlign w:val="top"/>
          </w:tcPr>
          <w:p>
            <w:pPr>
              <w:jc w:val="center"/>
            </w:pPr>
          </w:p>
        </w:tc>
        <w:tc>
          <w:tcPr>
            <w:tcW w:type="dxa" w:w="1130"/>
            <w:tcBorders>
              <w:top w:val="none" w:color="000000" w:sz="4"/>
              <w:left w:val="none" w:color="000000" w:sz="4"/>
              <w:bottom w:val="single" w:color="000000" w:sz="4"/>
              <w:right w:val="single" w:color="000000" w:sz="4"/>
            </w:tcBorders>
            <w:vAlign w:val="top"/>
          </w:tcPr>
          <w:p>
            <w:pPr>
              <w:jc w:val="center"/>
            </w:pPr>
          </w:p>
        </w:tc>
      </w:tr>
      <w:tr>
        <w:tc>
          <w:tcPr>
            <w:tcW w:type="dxa" w:w="8301"/>
            <w:gridSpan w:val="8"/>
            <w:tcBorders>
              <w:top w:val="none" w:color="000000" w:sz="4"/>
              <w:left w:val="single" w:color="000000" w:sz="4"/>
              <w:bottom w:val="single" w:color="000000" w:sz="4"/>
              <w:right w:val="single" w:color="000000" w:sz="4"/>
            </w:tcBorders>
            <w:vAlign w:val="top"/>
          </w:tcPr>
          <w:p>
            <w:pPr>
              <w:jc w:val="center"/>
            </w:pPr>
            <w:r>
              <w:rPr>
                <w:sz w:val="24"/>
              </w:rPr>
              <w:t>总计：</w:t>
            </w:r>
            <w:r>
              <w:rPr>
                <w:sz w:val="21"/>
                <w:u w:val="single"/>
              </w:rPr>
              <w:t xml:space="preserve">                 </w:t>
            </w:r>
            <w:r>
              <w:rPr>
                <w:sz w:val="24"/>
              </w:rPr>
              <w:t>元整（小写：￥</w:t>
            </w:r>
            <w:r>
              <w:rPr>
                <w:sz w:val="21"/>
                <w:u w:val="single"/>
              </w:rPr>
              <w:t xml:space="preserve">         </w:t>
            </w:r>
            <w:r>
              <w:rPr>
                <w:sz w:val="24"/>
              </w:rPr>
              <w:t>元）</w:t>
            </w:r>
          </w:p>
        </w:tc>
      </w:tr>
    </w:tbl>
    <w:p>
      <w:pPr>
        <w:jc w:val="both"/>
      </w:pPr>
      <w:r>
        <w:rPr>
          <w:sz w:val="24"/>
        </w:rPr>
        <w:t>2、合同总价和支付方式</w:t>
      </w:r>
    </w:p>
    <w:p>
      <w:pPr>
        <w:ind w:firstLine="240"/>
        <w:jc w:val="both"/>
      </w:pPr>
      <w:r>
        <w:rPr>
          <w:sz w:val="24"/>
        </w:rPr>
        <w:t>2.1合同总价：</w:t>
      </w:r>
    </w:p>
    <w:p>
      <w:pPr>
        <w:ind w:firstLine="480"/>
        <w:jc w:val="both"/>
      </w:pPr>
      <w:r>
        <w:rPr>
          <w:sz w:val="24"/>
        </w:rPr>
        <w:t>总价为人民币（大写）：</w:t>
      </w:r>
      <w:r>
        <w:rPr>
          <w:b/>
          <w:sz w:val="21"/>
          <w:u w:val="single"/>
        </w:rPr>
        <w:t xml:space="preserve">            </w:t>
      </w:r>
      <w:r>
        <w:rPr>
          <w:sz w:val="24"/>
        </w:rPr>
        <w:t>，即</w:t>
      </w:r>
      <w:r>
        <w:rPr>
          <w:sz w:val="24"/>
          <w:u w:val="single"/>
        </w:rPr>
        <w:t>￥</w:t>
      </w:r>
      <w:r>
        <w:rPr>
          <w:b/>
          <w:sz w:val="21"/>
          <w:u w:val="single"/>
        </w:rPr>
        <w:t xml:space="preserve">    </w:t>
      </w:r>
      <w:r>
        <w:rPr>
          <w:sz w:val="21"/>
          <w:u w:val="single"/>
        </w:rPr>
        <w:t xml:space="preserve"> </w:t>
      </w:r>
      <w:r>
        <w:rPr>
          <w:sz w:val="24"/>
        </w:rPr>
        <w:t>元，该合同总金额是包括但不限于设计、制造、包装、仓储、运输、保险、专利、安装及验收合格之前以及质保期发生的所有含税费用。本合同执行期间合同总金额不变。</w:t>
      </w:r>
    </w:p>
    <w:p>
      <w:pPr>
        <w:ind w:firstLine="240"/>
        <w:jc w:val="both"/>
      </w:pPr>
      <w:r>
        <w:rPr>
          <w:sz w:val="24"/>
        </w:rPr>
        <w:t>2.2支付方式：</w:t>
      </w:r>
    </w:p>
    <w:p>
      <w:pPr>
        <w:ind w:firstLine="435"/>
        <w:jc w:val="both"/>
      </w:pPr>
      <w:r>
        <w:rPr>
          <w:sz w:val="24"/>
        </w:rPr>
        <w:t>（</w:t>
      </w:r>
      <w:r>
        <w:rPr>
          <w:sz w:val="24"/>
        </w:rPr>
        <w:t>1）合同签订后5个工作日内，甲方开始办理预付合同总金额</w:t>
      </w:r>
      <w:r>
        <w:rPr>
          <w:sz w:val="24"/>
          <w:u w:val="single"/>
        </w:rPr>
        <w:t xml:space="preserve"> </w:t>
      </w:r>
      <w:r>
        <w:rPr>
          <w:sz w:val="24"/>
          <w:u w:val="single"/>
        </w:rPr>
        <w:t>50</w:t>
      </w:r>
      <w:r>
        <w:rPr>
          <w:sz w:val="24"/>
        </w:rPr>
        <w:t>%的货款</w:t>
      </w:r>
      <w:r>
        <w:rPr>
          <w:sz w:val="24"/>
        </w:rPr>
        <w:t>即</w:t>
      </w:r>
      <w:r>
        <w:rPr>
          <w:sz w:val="24"/>
          <w:u w:val="single"/>
        </w:rPr>
        <w:t xml:space="preserve">          </w:t>
      </w:r>
      <w:r>
        <w:rPr>
          <w:sz w:val="24"/>
          <w:u w:val="single"/>
        </w:rPr>
        <w:t>元整（小写：￥</w:t>
      </w:r>
      <w:r>
        <w:rPr>
          <w:sz w:val="24"/>
          <w:u w:val="single"/>
        </w:rPr>
        <w:t xml:space="preserve">      </w:t>
      </w:r>
      <w:r>
        <w:rPr>
          <w:sz w:val="24"/>
          <w:u w:val="single"/>
        </w:rPr>
        <w:t>元）</w:t>
      </w:r>
      <w:r>
        <w:rPr>
          <w:sz w:val="24"/>
        </w:rPr>
        <w:t>给乙方；</w:t>
      </w:r>
    </w:p>
    <w:p>
      <w:pPr>
        <w:ind w:firstLine="435"/>
        <w:jc w:val="both"/>
      </w:pPr>
      <w:r>
        <w:rPr>
          <w:sz w:val="24"/>
        </w:rPr>
        <w:t>（</w:t>
      </w:r>
      <w:r>
        <w:rPr>
          <w:sz w:val="24"/>
        </w:rPr>
        <w:t>2）仪器设备全部送至甲方指定地点并经清点签收后，甲方于5个工作日内支付合同总金额</w:t>
      </w:r>
      <w:r>
        <w:rPr>
          <w:sz w:val="24"/>
          <w:u w:val="single"/>
        </w:rPr>
        <w:t xml:space="preserve"> </w:t>
      </w:r>
      <w:r>
        <w:rPr>
          <w:sz w:val="24"/>
          <w:u w:val="single"/>
        </w:rPr>
        <w:t>40</w:t>
      </w:r>
      <w:r>
        <w:rPr>
          <w:sz w:val="24"/>
        </w:rPr>
        <w:t>%的货款即</w:t>
      </w:r>
      <w:r>
        <w:rPr>
          <w:sz w:val="24"/>
          <w:u w:val="single"/>
        </w:rPr>
        <w:t xml:space="preserve">          </w:t>
      </w:r>
      <w:r>
        <w:rPr>
          <w:sz w:val="24"/>
          <w:u w:val="single"/>
        </w:rPr>
        <w:t>元整（小写：￥</w:t>
      </w:r>
      <w:r>
        <w:rPr>
          <w:sz w:val="24"/>
          <w:u w:val="single"/>
        </w:rPr>
        <w:t xml:space="preserve">      </w:t>
      </w:r>
      <w:r>
        <w:rPr>
          <w:sz w:val="24"/>
          <w:u w:val="single"/>
        </w:rPr>
        <w:t>元）</w:t>
      </w:r>
      <w:r>
        <w:rPr>
          <w:sz w:val="24"/>
        </w:rPr>
        <w:t>给乙方；</w:t>
      </w:r>
    </w:p>
    <w:p>
      <w:pPr>
        <w:ind w:firstLine="435"/>
        <w:jc w:val="both"/>
      </w:pPr>
      <w:r>
        <w:rPr>
          <w:sz w:val="24"/>
        </w:rPr>
        <w:t>（</w:t>
      </w:r>
      <w:r>
        <w:rPr>
          <w:sz w:val="24"/>
        </w:rPr>
        <w:t>3）仪器</w:t>
      </w:r>
      <w:r>
        <w:rPr>
          <w:sz w:val="24"/>
        </w:rPr>
        <w:t>设备安装调试完毕并验收合格后，甲方于</w:t>
      </w:r>
      <w:r>
        <w:rPr>
          <w:sz w:val="24"/>
        </w:rPr>
        <w:t>5个工作日内支付合同</w:t>
      </w:r>
      <w:r>
        <w:rPr>
          <w:sz w:val="24"/>
        </w:rPr>
        <w:t>总金额</w:t>
      </w:r>
      <w:r>
        <w:rPr>
          <w:sz w:val="24"/>
          <w:u w:val="single"/>
        </w:rPr>
        <w:t xml:space="preserve"> </w:t>
      </w:r>
      <w:r>
        <w:rPr>
          <w:sz w:val="24"/>
          <w:u w:val="single"/>
        </w:rPr>
        <w:t>10</w:t>
      </w:r>
      <w:r>
        <w:rPr>
          <w:sz w:val="24"/>
        </w:rPr>
        <w:t>%的货款即</w:t>
      </w:r>
      <w:r>
        <w:rPr>
          <w:sz w:val="24"/>
          <w:u w:val="single"/>
        </w:rPr>
        <w:t xml:space="preserve">          </w:t>
      </w:r>
      <w:r>
        <w:rPr>
          <w:sz w:val="24"/>
          <w:u w:val="single"/>
        </w:rPr>
        <w:t>元整（小写：￥</w:t>
      </w:r>
      <w:r>
        <w:rPr>
          <w:sz w:val="24"/>
          <w:u w:val="single"/>
        </w:rPr>
        <w:t xml:space="preserve">      </w:t>
      </w:r>
      <w:r>
        <w:rPr>
          <w:sz w:val="24"/>
          <w:u w:val="single"/>
        </w:rPr>
        <w:t>元）</w:t>
      </w:r>
      <w:r>
        <w:rPr>
          <w:sz w:val="24"/>
        </w:rPr>
        <w:t>给乙方</w:t>
      </w:r>
      <w:r>
        <w:rPr>
          <w:sz w:val="24"/>
        </w:rPr>
        <w:t>。</w:t>
      </w:r>
    </w:p>
    <w:p>
      <w:pPr>
        <w:ind w:firstLine="240"/>
        <w:jc w:val="both"/>
      </w:pPr>
      <w:r>
        <w:rPr>
          <w:sz w:val="24"/>
        </w:rPr>
        <w:t>2.3乙方凭以下有效的文件向甲方提出支付申请：</w:t>
      </w:r>
    </w:p>
    <w:p>
      <w:pPr>
        <w:ind w:firstLine="480"/>
        <w:jc w:val="both"/>
      </w:pPr>
      <w:r>
        <w:rPr>
          <w:sz w:val="24"/>
        </w:rPr>
        <w:t>（</w:t>
      </w:r>
      <w:r>
        <w:rPr>
          <w:sz w:val="24"/>
        </w:rPr>
        <w:t>1）项目合同；</w:t>
      </w:r>
    </w:p>
    <w:p>
      <w:pPr>
        <w:ind w:firstLine="480"/>
        <w:jc w:val="both"/>
      </w:pPr>
      <w:r>
        <w:rPr>
          <w:sz w:val="24"/>
        </w:rPr>
        <w:t>（</w:t>
      </w:r>
      <w:r>
        <w:rPr>
          <w:sz w:val="24"/>
        </w:rPr>
        <w:t>2）按法律规定开具相应的发票；</w:t>
      </w:r>
    </w:p>
    <w:p>
      <w:pPr>
        <w:ind w:firstLine="480"/>
        <w:jc w:val="left"/>
      </w:pPr>
      <w:r>
        <w:rPr>
          <w:sz w:val="24"/>
        </w:rPr>
        <w:t>（</w:t>
      </w:r>
      <w:r>
        <w:rPr>
          <w:sz w:val="24"/>
        </w:rPr>
        <w:t>3）项目中标（成交）通知书；</w:t>
      </w:r>
    </w:p>
    <w:p>
      <w:pPr>
        <w:ind w:firstLine="480"/>
        <w:jc w:val="both"/>
      </w:pPr>
      <w:r>
        <w:rPr>
          <w:sz w:val="24"/>
        </w:rPr>
        <w:t>（</w:t>
      </w:r>
      <w:r>
        <w:rPr>
          <w:sz w:val="24"/>
        </w:rPr>
        <w:t>4）交货相关证明材料</w:t>
      </w:r>
      <w:r>
        <w:rPr>
          <w:b/>
          <w:sz w:val="24"/>
        </w:rPr>
        <w:t>（</w:t>
      </w:r>
      <w:r>
        <w:rPr>
          <w:b/>
          <w:sz w:val="22"/>
        </w:rPr>
        <w:t>注：支付第二笔款项时提交</w:t>
      </w:r>
      <w:r>
        <w:rPr>
          <w:b/>
          <w:sz w:val="24"/>
        </w:rPr>
        <w:t>）</w:t>
      </w:r>
      <w:r>
        <w:rPr>
          <w:sz w:val="24"/>
        </w:rPr>
        <w:t>。</w:t>
      </w:r>
    </w:p>
    <w:p>
      <w:pPr>
        <w:ind w:firstLine="240"/>
        <w:jc w:val="both"/>
      </w:pPr>
      <w:r>
        <w:rPr>
          <w:sz w:val="24"/>
        </w:rPr>
        <w:t>2.4关于货款支付的其他说明：</w:t>
      </w:r>
    </w:p>
    <w:p>
      <w:pPr>
        <w:ind w:firstLine="480"/>
        <w:jc w:val="both"/>
      </w:pPr>
      <w:r>
        <w:rPr>
          <w:sz w:val="24"/>
        </w:rPr>
        <w:t>（</w:t>
      </w:r>
      <w:r>
        <w:rPr>
          <w:sz w:val="24"/>
        </w:rPr>
        <w:t>1）</w:t>
      </w:r>
      <w:r>
        <w:rPr>
          <w:sz w:val="24"/>
        </w:rPr>
        <w:t>乙方有义务向甲方提供申请财政付款所需文件材料。除了证明</w:t>
      </w:r>
      <w:r>
        <w:rPr>
          <w:sz w:val="24"/>
        </w:rPr>
        <w:t>货物交接</w:t>
      </w:r>
      <w:r>
        <w:rPr>
          <w:sz w:val="24"/>
        </w:rPr>
        <w:t>已完成的材料之外，乙方还必须向甲方相应的款项发票作为请款凭据。如对申请材料有其他要求的，乙方也应配合及时提供。如乙方未按本合同约定及时提供请款所需材料和发票的，甲方有权延缓申请支付，直至收到乙方提供的材料和发票时止，而不视为甲方违约。</w:t>
      </w:r>
    </w:p>
    <w:p>
      <w:pPr>
        <w:ind w:firstLine="480"/>
        <w:jc w:val="both"/>
      </w:pPr>
      <w:r>
        <w:rPr>
          <w:sz w:val="24"/>
        </w:rPr>
        <w:t>（</w:t>
      </w:r>
      <w:r>
        <w:rPr>
          <w:sz w:val="24"/>
        </w:rPr>
        <w:t>2）由于甲方使用的是财政性资金，甲方向财政部门申请支付即视为履行了付款义务，乙方不得因财政部门审核需要时间、拨款迟延等原因要求甲方承担迟延付款的责任，更不得因此怠于履行合同义务。</w:t>
      </w:r>
    </w:p>
    <w:p>
      <w:pPr>
        <w:jc w:val="both"/>
      </w:pPr>
      <w:r>
        <w:rPr>
          <w:sz w:val="24"/>
        </w:rPr>
        <w:t>3、合同组成</w:t>
      </w:r>
    </w:p>
    <w:p>
      <w:pPr>
        <w:ind w:firstLine="480"/>
        <w:jc w:val="both"/>
      </w:pPr>
      <w:r>
        <w:rPr>
          <w:sz w:val="24"/>
        </w:rPr>
        <w:t>详细价格、技术说明及其它有关合同设备的特定信息由合同附件说明。所有附件及本项目的招投标文件、会议纪要、协议等均为本合同不可分割之一部分。</w:t>
      </w:r>
    </w:p>
    <w:p>
      <w:pPr>
        <w:jc w:val="both"/>
      </w:pPr>
      <w:r>
        <w:rPr>
          <w:sz w:val="24"/>
        </w:rPr>
        <w:t>4、合同货物包装、交货、安装、调试及验收</w:t>
      </w:r>
    </w:p>
    <w:p>
      <w:pPr>
        <w:ind w:firstLine="240"/>
        <w:jc w:val="both"/>
      </w:pPr>
      <w:r>
        <w:rPr>
          <w:sz w:val="24"/>
        </w:rPr>
        <w:t>4.1 合同货物的包装：货物的包装均应有良好的防湿、防锈、防潮、防雨、防腐及防碰撞的措施。凡由于包装不良及运输等造成的损失和由此产生的费用均由乙方承担。</w:t>
      </w:r>
    </w:p>
    <w:p>
      <w:pPr>
        <w:ind w:firstLine="240"/>
        <w:jc w:val="both"/>
      </w:pPr>
      <w:r>
        <w:rPr>
          <w:sz w:val="24"/>
        </w:rPr>
        <w:t>4.2 合同货物的交付：</w:t>
      </w:r>
    </w:p>
    <w:p>
      <w:pPr>
        <w:ind w:firstLine="480"/>
        <w:jc w:val="both"/>
      </w:pPr>
      <w:r>
        <w:rPr>
          <w:sz w:val="24"/>
        </w:rPr>
        <w:t>4.2.1 乙方交货时间：合同签订后</w:t>
      </w:r>
      <w:r>
        <w:rPr>
          <w:sz w:val="24"/>
          <w:u w:val="single"/>
        </w:rPr>
        <w:t xml:space="preserve"> </w:t>
      </w:r>
      <w:r>
        <w:rPr>
          <w:sz w:val="24"/>
          <w:u w:val="single"/>
        </w:rPr>
        <w:t>60个自然日</w:t>
      </w:r>
      <w:r>
        <w:rPr>
          <w:sz w:val="24"/>
        </w:rPr>
        <w:t>内交货。</w:t>
      </w:r>
    </w:p>
    <w:p>
      <w:pPr>
        <w:ind w:firstLine="480"/>
        <w:jc w:val="both"/>
      </w:pPr>
      <w:r>
        <w:rPr>
          <w:sz w:val="24"/>
        </w:rPr>
        <w:t>4.2.2 乙方交货地点：按甲方指定地点。</w:t>
      </w:r>
    </w:p>
    <w:p>
      <w:pPr>
        <w:ind w:firstLine="480"/>
        <w:jc w:val="both"/>
      </w:pPr>
      <w:r>
        <w:rPr>
          <w:sz w:val="24"/>
        </w:rPr>
        <w:t>4.2.3 合同货物到达甲方指定交货地点时，甲乙双方现场确认货物件数。</w:t>
      </w:r>
    </w:p>
    <w:p>
      <w:pPr>
        <w:ind w:firstLine="240"/>
        <w:jc w:val="both"/>
      </w:pPr>
      <w:r>
        <w:rPr>
          <w:sz w:val="24"/>
        </w:rPr>
        <w:t>4.3 合同货物的安装调试：</w:t>
      </w:r>
    </w:p>
    <w:p>
      <w:pPr>
        <w:ind w:firstLine="120"/>
        <w:jc w:val="both"/>
      </w:pPr>
      <w:r>
        <w:rPr>
          <w:sz w:val="24"/>
        </w:rPr>
        <w:t xml:space="preserve">   </w:t>
      </w:r>
      <w:r>
        <w:rPr>
          <w:sz w:val="24"/>
        </w:rPr>
        <w:t>4.3.1 合同货物全部到达甲方指定地点10个工作日内，甲乙双方清点货物同时开展对货物的安装调试和验收。</w:t>
      </w:r>
    </w:p>
    <w:p>
      <w:pPr>
        <w:ind w:firstLine="480"/>
        <w:jc w:val="both"/>
      </w:pPr>
      <w:r>
        <w:rPr>
          <w:sz w:val="24"/>
        </w:rPr>
        <w:t>4.3.2 乙方必须在货物到达之前，将需要甲方配合工作以书面形式通知甲方。内容包括货物存放、设备安装的环境、场地要求等。</w:t>
      </w:r>
    </w:p>
    <w:p>
      <w:pPr>
        <w:ind w:firstLine="480"/>
        <w:jc w:val="both"/>
      </w:pPr>
      <w:r>
        <w:rPr>
          <w:sz w:val="24"/>
        </w:rPr>
        <w:t>4.3.3 乙方必须向甲方提供合同货物安装所需的用户操作使用说明书、材料及技术资料（外文资料必须有相对应的中文资料）。</w:t>
      </w:r>
    </w:p>
    <w:p>
      <w:pPr>
        <w:ind w:firstLine="480"/>
        <w:jc w:val="both"/>
      </w:pPr>
      <w:r>
        <w:rPr>
          <w:sz w:val="24"/>
        </w:rPr>
        <w:t>4.3.4 乙方负责对货物进行安装调试工作，至验收合格为止，一切费用由乙方负责。</w:t>
      </w:r>
    </w:p>
    <w:p>
      <w:pPr>
        <w:ind w:firstLine="480"/>
        <w:jc w:val="both"/>
      </w:pPr>
      <w:r>
        <w:rPr>
          <w:sz w:val="24"/>
        </w:rPr>
        <w:t>4.3.5 乙方在接到甲方要求开始安装调试后48小时内必须派技术人员到现场进行安装调试工作。</w:t>
      </w:r>
    </w:p>
    <w:p>
      <w:pPr>
        <w:ind w:firstLine="480"/>
        <w:jc w:val="both"/>
      </w:pPr>
      <w:r>
        <w:rPr>
          <w:sz w:val="24"/>
        </w:rPr>
        <w:t>4.3.6 乙方安装时须对各安装场地内的其它设备、设施有良好保护措施。</w:t>
      </w:r>
    </w:p>
    <w:p>
      <w:pPr>
        <w:ind w:firstLine="240"/>
        <w:jc w:val="both"/>
      </w:pPr>
      <w:r>
        <w:rPr>
          <w:sz w:val="24"/>
        </w:rPr>
        <w:t>4.4  货物的验收：</w:t>
      </w:r>
    </w:p>
    <w:p>
      <w:pPr>
        <w:ind w:firstLine="420"/>
        <w:jc w:val="both"/>
      </w:pPr>
      <w:r>
        <w:rPr>
          <w:sz w:val="24"/>
        </w:rPr>
        <w:t>4.4.1 货物安装调试原则上在15个工作日内完成，验收应在甲乙双方共同参加下进行。</w:t>
      </w:r>
    </w:p>
    <w:p>
      <w:pPr>
        <w:ind w:firstLine="420"/>
        <w:jc w:val="both"/>
      </w:pPr>
      <w:r>
        <w:rPr>
          <w:sz w:val="24"/>
        </w:rPr>
        <w:t>4.4.2 验收按国家有关的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w:t>
      </w:r>
    </w:p>
    <w:p>
      <w:pPr>
        <w:ind w:firstLine="423"/>
        <w:jc w:val="both"/>
      </w:pPr>
      <w:r>
        <w:rPr>
          <w:sz w:val="24"/>
        </w:rPr>
        <w:t>4.4.3 如果合同设备运输和安装调试过程中因事故造成货物短缺、损坏，乙方应及时安排换装，以保证合同设备安装调试的成功完成。换货的相关费用由乙方承担。</w:t>
      </w:r>
    </w:p>
    <w:p>
      <w:pPr>
        <w:jc w:val="both"/>
      </w:pPr>
      <w:r>
        <w:rPr>
          <w:sz w:val="24"/>
        </w:rPr>
        <w:t>4.4.4 国内产品或合资厂的产品必须具备出厂合格证。</w:t>
      </w:r>
    </w:p>
    <w:p>
      <w:pPr>
        <w:ind w:firstLine="417"/>
        <w:jc w:val="both"/>
      </w:pPr>
      <w:r>
        <w:rPr>
          <w:sz w:val="24"/>
        </w:rPr>
        <w:t>4.4.5 乙方应保证，甲方在中华人民共和国使用本合同采购货物或货物的任何一部分时，免受第三方提出侵犯其专利权、商标权或其它知识产权的起诉。否则，乙方须承担对第三方的专利或版权的侵权责任并承担因此而发生的所有费用。</w:t>
      </w:r>
    </w:p>
    <w:p>
      <w:pPr>
        <w:ind w:firstLine="240"/>
        <w:jc w:val="both"/>
      </w:pPr>
      <w:r>
        <w:rPr>
          <w:sz w:val="24"/>
        </w:rPr>
        <w:t>4.5 项目的验收：</w:t>
      </w:r>
    </w:p>
    <w:p>
      <w:pPr>
        <w:ind w:firstLine="480"/>
        <w:jc w:val="both"/>
      </w:pPr>
      <w:r>
        <w:rPr>
          <w:sz w:val="24"/>
        </w:rPr>
        <w:t>4.5.1 由甲方组织对本合同所属项目的验收。验收标准应包括：</w:t>
      </w:r>
    </w:p>
    <w:p>
      <w:pPr>
        <w:ind w:firstLine="480"/>
        <w:jc w:val="both"/>
      </w:pPr>
      <w:r>
        <w:rPr>
          <w:sz w:val="24"/>
        </w:rPr>
        <w:t>（</w:t>
      </w:r>
      <w:r>
        <w:rPr>
          <w:sz w:val="24"/>
        </w:rPr>
        <w:t>1）项目所有合同货物的交付及验收情况。</w:t>
      </w:r>
    </w:p>
    <w:p>
      <w:pPr>
        <w:ind w:firstLine="480"/>
        <w:jc w:val="both"/>
      </w:pPr>
      <w:r>
        <w:rPr>
          <w:sz w:val="24"/>
        </w:rPr>
        <w:t>（</w:t>
      </w:r>
      <w:r>
        <w:rPr>
          <w:sz w:val="24"/>
        </w:rPr>
        <w:t>2）项目所有合同的商务履约情况。</w:t>
      </w:r>
    </w:p>
    <w:p>
      <w:pPr>
        <w:ind w:firstLine="480"/>
        <w:jc w:val="both"/>
      </w:pPr>
      <w:r>
        <w:rPr>
          <w:sz w:val="24"/>
        </w:rPr>
        <w:t>（</w:t>
      </w:r>
      <w:r>
        <w:rPr>
          <w:sz w:val="24"/>
        </w:rPr>
        <w:t>3）项目绩效目标实现情况。</w:t>
      </w:r>
    </w:p>
    <w:p>
      <w:pPr>
        <w:ind w:firstLine="480"/>
        <w:jc w:val="both"/>
      </w:pPr>
      <w:r>
        <w:rPr>
          <w:sz w:val="24"/>
        </w:rPr>
        <w:t>4.5.2 甲方组成验收小组对项目进行验收，必要时邀请相关的专业人员或机构参与验收。</w:t>
      </w:r>
    </w:p>
    <w:p>
      <w:pPr>
        <w:ind w:firstLine="480"/>
        <w:jc w:val="both"/>
      </w:pPr>
      <w:r>
        <w:rPr>
          <w:sz w:val="24"/>
        </w:rPr>
        <w:t>4.5.3 验收活动按照甲方项目验收管理工作要求执行，乙方应配合甲方的验收工作，按甲方的要求提供相应的验收材料并汇报相关工作情况。</w:t>
      </w:r>
    </w:p>
    <w:p>
      <w:pPr>
        <w:ind w:firstLine="480"/>
        <w:jc w:val="both"/>
      </w:pPr>
      <w:r>
        <w:rPr>
          <w:sz w:val="24"/>
        </w:rPr>
        <w:t>4.5.4 项目验收而产生的有关费用，由项目所有合同的乙方承担。</w:t>
      </w:r>
    </w:p>
    <w:p>
      <w:pPr>
        <w:jc w:val="both"/>
      </w:pPr>
      <w:r>
        <w:rPr>
          <w:sz w:val="24"/>
        </w:rPr>
        <w:t>5、质量保证及售后服务</w:t>
      </w:r>
    </w:p>
    <w:p>
      <w:pPr>
        <w:ind w:firstLine="240"/>
        <w:jc w:val="both"/>
      </w:pPr>
      <w:r>
        <w:rPr>
          <w:sz w:val="24"/>
        </w:rPr>
        <w:t>5.1 乙方保证合同货物，其质量、规格及技术特征符合合同附件及投标响应文件的要求。</w:t>
      </w:r>
    </w:p>
    <w:p>
      <w:pPr>
        <w:ind w:firstLine="240"/>
        <w:jc w:val="both"/>
      </w:pPr>
      <w:r>
        <w:rPr>
          <w:sz w:val="24"/>
        </w:rPr>
        <w:t>5.2 合同货物质保期按乙方售后服务承诺执行。</w:t>
      </w:r>
    </w:p>
    <w:p>
      <w:pPr>
        <w:ind w:firstLine="480"/>
        <w:jc w:val="both"/>
      </w:pPr>
      <w:r>
        <w:rPr>
          <w:sz w:val="24"/>
        </w:rPr>
        <w:t>质保期内非因甲方的人为原因而出现产品质量及安装问题，由乙方负责包修、包换或包退（实行三包服务），并承担因此而产生的一切费用。</w:t>
      </w:r>
    </w:p>
    <w:p>
      <w:pPr>
        <w:ind w:firstLine="480"/>
        <w:jc w:val="both"/>
      </w:pPr>
      <w:r>
        <w:rPr>
          <w:sz w:val="24"/>
        </w:rPr>
        <w:t>货物出现故障，乙方应在收到甲方通知后在规定时间内响应，按售后服务承诺条款要求派员到现场实施维修。</w:t>
      </w:r>
    </w:p>
    <w:p>
      <w:pPr>
        <w:ind w:firstLine="240"/>
        <w:jc w:val="both"/>
      </w:pPr>
      <w:r>
        <w:rPr>
          <w:sz w:val="24"/>
        </w:rPr>
        <w:t>5.3 因货物的质量问题而发生争议，由广东省或广州市质量技术监督部门进行质量鉴定。设备符合质量标准的，鉴定费用由甲方承担；设备不符合质量标准的，鉴定费用由乙方承担。</w:t>
      </w:r>
    </w:p>
    <w:p>
      <w:pPr>
        <w:ind w:firstLine="240"/>
        <w:jc w:val="both"/>
      </w:pPr>
      <w:r>
        <w:rPr>
          <w:sz w:val="24"/>
        </w:rPr>
        <w:t>5.4 若货物因质量问题无法使用，且无法换货的，按不能交货处理，甲方退回货物，乙方应退回相应货款。</w:t>
      </w:r>
    </w:p>
    <w:p>
      <w:pPr>
        <w:ind w:firstLine="240"/>
        <w:jc w:val="both"/>
      </w:pPr>
      <w:r>
        <w:rPr>
          <w:sz w:val="24"/>
        </w:rPr>
        <w:t>5.5 乙方应根据投标响应文件中的承诺为甲方提供操作及维护培训，主要内容为货物的基本结构、性能、主要部件的构造及原理，日常使用操作、保养与管理，常见故障的排除，紧急情况的处理等，直至甲方使用者完全掌握货物的基本操作和维护管理。培训地点主要在安装现场或按甲乙双方协商安排。培训所需全部费用均包含于本合同总价之中。</w:t>
      </w:r>
    </w:p>
    <w:p>
      <w:pPr>
        <w:jc w:val="both"/>
      </w:pPr>
      <w:r>
        <w:rPr>
          <w:sz w:val="24"/>
        </w:rPr>
        <w:t>6、技术服务</w:t>
      </w:r>
    </w:p>
    <w:p>
      <w:pPr>
        <w:ind w:firstLine="240"/>
        <w:jc w:val="both"/>
      </w:pPr>
      <w:r>
        <w:rPr>
          <w:sz w:val="24"/>
        </w:rPr>
        <w:t>6.1 乙方应派员到甲方指定地点配合工作。</w:t>
      </w:r>
    </w:p>
    <w:p>
      <w:pPr>
        <w:ind w:firstLine="240"/>
        <w:jc w:val="both"/>
      </w:pPr>
      <w:r>
        <w:rPr>
          <w:sz w:val="24"/>
        </w:rPr>
        <w:t>6.2 乙方按甲方提供的合同执行进度计划，再配合甲方及有关单位，以此做好合同执行进度上的配合工作。</w:t>
      </w:r>
    </w:p>
    <w:p>
      <w:pPr>
        <w:ind w:firstLine="240"/>
        <w:jc w:val="both"/>
      </w:pPr>
      <w:r>
        <w:rPr>
          <w:sz w:val="24"/>
        </w:rPr>
        <w:t>6.3乙方应对仪器设备操作软件终生免费升级。</w:t>
      </w:r>
    </w:p>
    <w:p>
      <w:pPr>
        <w:jc w:val="both"/>
      </w:pPr>
      <w:r>
        <w:rPr>
          <w:sz w:val="24"/>
        </w:rPr>
        <w:t>7、保密</w:t>
      </w:r>
    </w:p>
    <w:p>
      <w:pPr>
        <w:ind w:firstLine="480"/>
        <w:jc w:val="both"/>
      </w:pPr>
      <w:r>
        <w:rPr>
          <w:sz w:val="24"/>
        </w:rPr>
        <w:t>7.1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ind w:firstLine="480"/>
        <w:jc w:val="both"/>
      </w:pPr>
      <w:r>
        <w:rPr>
          <w:sz w:val="24"/>
        </w:rPr>
        <w:t>7.2泄密责任：乙方违反本条规定的，甲方有权视乙方合同履行情况及违约情形，要求乙方支付本合同总价5%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ind w:firstLine="480"/>
        <w:jc w:val="both"/>
      </w:pPr>
      <w:r>
        <w:rPr>
          <w:sz w:val="24"/>
        </w:rPr>
        <w:t>3、保密内容：技术信息和经济信息。包括乙方在本项目实施过程中从甲方获取的有关本项目的技术文件、相关资料、技术诀窍、技术秘密、商业秘密，以及已由甲方明确列为保密信息的其他信息。</w:t>
      </w:r>
    </w:p>
    <w:p>
      <w:pPr>
        <w:ind w:firstLine="480"/>
        <w:jc w:val="both"/>
      </w:pPr>
      <w:r>
        <w:rPr>
          <w:sz w:val="24"/>
        </w:rPr>
        <w:t>4、保密责任者范围：乙方及乙方参与本项目的所有人员。</w:t>
      </w:r>
    </w:p>
    <w:p>
      <w:pPr>
        <w:jc w:val="both"/>
      </w:pPr>
      <w:r>
        <w:rPr>
          <w:sz w:val="24"/>
        </w:rPr>
        <w:t>8、不可抗力</w:t>
      </w:r>
    </w:p>
    <w:p>
      <w:pPr>
        <w:ind w:firstLine="240"/>
        <w:jc w:val="both"/>
      </w:pPr>
      <w:r>
        <w:rPr>
          <w:sz w:val="24"/>
        </w:rPr>
        <w:t>8.1  不可抗力指战争、严重火灾、洪水、台风、地震等或其它双方认定的不可抗力事件。</w:t>
      </w:r>
    </w:p>
    <w:p>
      <w:pPr>
        <w:ind w:firstLine="240"/>
        <w:jc w:val="both"/>
      </w:pPr>
      <w:r>
        <w:rPr>
          <w:sz w:val="24"/>
        </w:rPr>
        <w:t>8.2  签约双方中任何一方由于不可抗力影响合同执行时，发生不可抗力一方应尽快将事故通知另一方。 在此情况下，乙方仍然有责任采取必要的措施加速供货，双方应通过友好协商尽快解决本合同的执行问题。</w:t>
      </w:r>
    </w:p>
    <w:p>
      <w:pPr>
        <w:jc w:val="both"/>
      </w:pPr>
      <w:r>
        <w:rPr>
          <w:sz w:val="24"/>
        </w:rPr>
        <w:t>9、索赔</w:t>
      </w:r>
    </w:p>
    <w:p>
      <w:pPr>
        <w:ind w:firstLine="240"/>
        <w:jc w:val="both"/>
      </w:pPr>
      <w:r>
        <w:rPr>
          <w:sz w:val="24"/>
        </w:rPr>
        <w:t>9.1 如有异议，甲方有权根据有关政府部门的检验结果向乙方提出索赔。</w:t>
      </w:r>
    </w:p>
    <w:p>
      <w:pPr>
        <w:ind w:firstLine="240"/>
        <w:jc w:val="both"/>
      </w:pPr>
      <w:r>
        <w:rPr>
          <w:sz w:val="24"/>
        </w:rPr>
        <w:t>9.2 在合同执行期间，如果乙方对甲方提出的索赔和差异负有责任，乙方应按照甲方同意的下列一种或多种方式解决索赔事宜：</w:t>
      </w:r>
    </w:p>
    <w:p>
      <w:pPr>
        <w:ind w:firstLine="360"/>
        <w:jc w:val="both"/>
      </w:pPr>
      <w:r>
        <w:rPr>
          <w:sz w:val="24"/>
        </w:rPr>
        <w:t>（</w:t>
      </w:r>
      <w:r>
        <w:rPr>
          <w:sz w:val="24"/>
        </w:rPr>
        <w:t>1）乙方同意退货，并按合同规定的同种货币将货款退还给甲方，并承担由此发生的一切损失和费用。</w:t>
      </w:r>
    </w:p>
    <w:p>
      <w:pPr>
        <w:ind w:firstLine="360"/>
        <w:jc w:val="both"/>
      </w:pPr>
      <w:r>
        <w:rPr>
          <w:sz w:val="24"/>
        </w:rPr>
        <w:t>（</w:t>
      </w:r>
      <w:r>
        <w:rPr>
          <w:sz w:val="24"/>
        </w:rPr>
        <w:t>2）根据货物低劣程度、损坏程度以及甲方所遭受损失的数额甲乙双方商定降低货物的价格。</w:t>
      </w:r>
    </w:p>
    <w:p>
      <w:pPr>
        <w:ind w:firstLine="360"/>
        <w:jc w:val="both"/>
      </w:pPr>
      <w:r>
        <w:rPr>
          <w:sz w:val="24"/>
        </w:rPr>
        <w:t>（</w:t>
      </w:r>
      <w:r>
        <w:rPr>
          <w:sz w:val="24"/>
        </w:rPr>
        <w:t>3）用符合规格、质量和性能要求的新零件、部件或货物来更换有缺陷的部分或修补缺陷的部分，乙方应承担一切费用和风险并负责甲方所发生的一切直接费用。同时，相应延长质量保证期。</w:t>
      </w:r>
    </w:p>
    <w:p>
      <w:pPr>
        <w:ind w:firstLine="240"/>
        <w:jc w:val="both"/>
      </w:pPr>
      <w:r>
        <w:rPr>
          <w:sz w:val="24"/>
        </w:rPr>
        <w:t>9.3 如果在甲方发出索赔通知后</w:t>
      </w:r>
      <w:r>
        <w:rPr>
          <w:sz w:val="24"/>
        </w:rPr>
        <w:t>30</w:t>
      </w:r>
      <w:r>
        <w:rPr>
          <w:sz w:val="24"/>
        </w:rPr>
        <w:t>个自然日内，乙方未作答复，上述索赔应视为已被乙方接受。甲方将从合同款项中扣回索赔金额。如果这些金额不足以补偿索赔金额，甲方有权向乙方提出不足部分的补偿。</w:t>
      </w:r>
    </w:p>
    <w:p>
      <w:pPr>
        <w:jc w:val="both"/>
      </w:pPr>
      <w:r>
        <w:rPr>
          <w:sz w:val="24"/>
        </w:rPr>
        <w:t>10、违约与处罚</w:t>
      </w:r>
    </w:p>
    <w:p>
      <w:pPr>
        <w:ind w:firstLine="240"/>
        <w:jc w:val="both"/>
      </w:pPr>
      <w:r>
        <w:rPr>
          <w:sz w:val="24"/>
        </w:rPr>
        <w:t>10.1 甲方无正当理由逾期付款，自甲方收到付款所需的完整文件材料且5个工作日后起，甲方须按每天按合同总金额3‰的金额向乙方偿付违约金。</w:t>
      </w:r>
    </w:p>
    <w:p>
      <w:pPr>
        <w:ind w:firstLine="240"/>
        <w:jc w:val="both"/>
      </w:pPr>
      <w:r>
        <w:rPr>
          <w:sz w:val="24"/>
        </w:rPr>
        <w:t>10.2 乙方无正当理由逾期交付合同货物的，自合同约定交货之日起，乙方须按每天按合同总金额3‰的金额向甲方偿付违约金，该违约金于未支付的货款中扣除。逾期交付超过15个自然日，甲方有权单方面解除合同，由于乙方无法履约而造成的相关损失均由乙方承担。</w:t>
      </w:r>
    </w:p>
    <w:p>
      <w:pPr>
        <w:ind w:firstLine="240"/>
        <w:jc w:val="both"/>
      </w:pPr>
      <w:r>
        <w:rPr>
          <w:sz w:val="24"/>
        </w:rPr>
        <w:t>10.3 乙方未能交付货物、交付的货物不符合合同规定且拒绝更换的，甲方有权终止合同并退回货物，并要求乙方偿付金额为合同总金额10%的违约金。由于乙方无法履约而造成的相关损失均由乙方承担。</w:t>
      </w:r>
    </w:p>
    <w:p>
      <w:pPr>
        <w:ind w:firstLine="240"/>
        <w:jc w:val="both"/>
      </w:pPr>
      <w:r>
        <w:rPr>
          <w:sz w:val="24"/>
        </w:rPr>
        <w:t>10.4 甲方无正当理由拒收货物的，甲方向乙方支付合同金额的</w:t>
      </w:r>
      <w:r>
        <w:rPr>
          <w:sz w:val="24"/>
        </w:rPr>
        <w:t>5%</w:t>
      </w:r>
      <w:r>
        <w:rPr>
          <w:sz w:val="24"/>
        </w:rPr>
        <w:t>的违约金。</w:t>
      </w:r>
    </w:p>
    <w:p>
      <w:pPr>
        <w:ind w:firstLine="240"/>
        <w:jc w:val="both"/>
      </w:pPr>
      <w:r>
        <w:rPr>
          <w:sz w:val="24"/>
        </w:rPr>
        <w:t>10.5 乙方交付货物的品质、性能、技术标准、质量要求轻微不符合合同约定的，甲方有权向乙方提出更换货物及索赔，乙方应在甲方提出之日起</w:t>
      </w:r>
      <w:r>
        <w:rPr>
          <w:sz w:val="24"/>
          <w:u w:val="single"/>
        </w:rPr>
        <w:t>30</w:t>
      </w:r>
      <w:r>
        <w:rPr>
          <w:sz w:val="24"/>
        </w:rPr>
        <w:t>个自然日内免费更换货物，此段时间属逾期交货，按本条第</w:t>
      </w:r>
      <w:r>
        <w:rPr>
          <w:sz w:val="24"/>
        </w:rPr>
        <w:t>2款处理。如经更换，货物质量仍不符合合同约定的，甲方有权退回货物并终止合同，乙方应向甲方返还货物对应的款项，并按合同总价</w:t>
      </w:r>
      <w:r>
        <w:rPr>
          <w:sz w:val="24"/>
        </w:rPr>
        <w:t>5%</w:t>
      </w:r>
      <w:r>
        <w:rPr>
          <w:sz w:val="24"/>
        </w:rPr>
        <w:t>向甲方偿付违约金。</w:t>
      </w:r>
    </w:p>
    <w:p>
      <w:pPr>
        <w:ind w:firstLine="240"/>
        <w:jc w:val="both"/>
      </w:pPr>
      <w:r>
        <w:rPr>
          <w:sz w:val="24"/>
        </w:rPr>
        <w:t>10.6 乙方保证本合同项下货物的权利无瑕疵，包括货物所有权及知识产权等权利无瑕疵。如任何第三方经法院（或仲裁机构）裁决有权对上述货物主张权利或国家机关依法对货物进行没收查处的，乙方除应向甲方返还货物对应的款项外，还应按合同总价5%向甲方支付的违约金并赔偿因此给甲方造成的一切损失。</w:t>
      </w:r>
    </w:p>
    <w:p>
      <w:pPr>
        <w:ind w:firstLine="240"/>
        <w:jc w:val="both"/>
      </w:pPr>
      <w:r>
        <w:rPr>
          <w:sz w:val="24"/>
        </w:rPr>
        <w:t>10.7 乙方未能按约定时间提供培训、响应和处理项目质保期故障、处理售后约定的其他内容的，每逾期一天，乙方向甲方支付违约金3000元。</w:t>
      </w:r>
    </w:p>
    <w:p>
      <w:pPr>
        <w:jc w:val="both"/>
      </w:pPr>
      <w:r>
        <w:rPr>
          <w:sz w:val="24"/>
        </w:rPr>
        <w:t>11、合同转让与分包</w:t>
      </w:r>
    </w:p>
    <w:p>
      <w:pPr>
        <w:jc w:val="both"/>
      </w:pPr>
      <w:r>
        <w:rPr>
          <w:sz w:val="24"/>
        </w:rPr>
        <w:t xml:space="preserve">    </w:t>
      </w:r>
      <w:r>
        <w:rPr>
          <w:sz w:val="24"/>
        </w:rPr>
        <w:t>本合同乙方在任何情况下都不得转让其应履行的合同义务。否则，甲方有权单方面解除合同，并要求乙方承担合同总金额</w:t>
      </w:r>
      <w:r>
        <w:rPr>
          <w:sz w:val="24"/>
        </w:rPr>
        <w:t>20%的违约金。</w:t>
      </w:r>
    </w:p>
    <w:p>
      <w:pPr>
        <w:jc w:val="both"/>
      </w:pPr>
      <w:r>
        <w:rPr>
          <w:sz w:val="24"/>
        </w:rPr>
        <w:t>13、合同终止</w:t>
      </w:r>
    </w:p>
    <w:p>
      <w:pPr>
        <w:ind w:firstLine="480"/>
        <w:jc w:val="both"/>
      </w:pPr>
      <w:r>
        <w:rPr>
          <w:sz w:val="24"/>
        </w:rPr>
        <w:t>如果一方严重违反合同，并在收到对方违约通知书后在</w:t>
      </w:r>
      <w:r>
        <w:rPr>
          <w:sz w:val="24"/>
        </w:rPr>
        <w:t>30</w:t>
      </w:r>
      <w:r>
        <w:rPr>
          <w:sz w:val="24"/>
        </w:rPr>
        <w:t>天内仍未能改正违约的，另一方可立即终止本合同。</w:t>
      </w:r>
    </w:p>
    <w:p>
      <w:pPr>
        <w:jc w:val="both"/>
      </w:pPr>
      <w:r>
        <w:rPr>
          <w:sz w:val="24"/>
        </w:rPr>
        <w:t>14、法律诉讼</w:t>
      </w:r>
    </w:p>
    <w:p>
      <w:pPr>
        <w:ind w:firstLine="480"/>
        <w:jc w:val="both"/>
      </w:pPr>
      <w:r>
        <w:rPr>
          <w:sz w:val="24"/>
        </w:rPr>
        <w:t>合同履行过程中发生的争议，由双方协商解决，协商不成的，则向甲方所在地人民法院起诉。受理期间，双方应继续执行合同其余部分。</w:t>
      </w:r>
    </w:p>
    <w:p>
      <w:pPr>
        <w:jc w:val="both"/>
      </w:pPr>
      <w:r>
        <w:rPr>
          <w:sz w:val="24"/>
        </w:rPr>
        <w:t>15、其它</w:t>
      </w:r>
    </w:p>
    <w:p>
      <w:pPr>
        <w:ind w:firstLine="240"/>
        <w:jc w:val="both"/>
      </w:pPr>
      <w:r>
        <w:rPr>
          <w:sz w:val="24"/>
        </w:rPr>
        <w:t>15.1 本合同正本</w:t>
      </w:r>
      <w:r>
        <w:rPr>
          <w:sz w:val="21"/>
          <w:u w:val="single"/>
        </w:rPr>
        <w:t xml:space="preserve">     </w:t>
      </w:r>
      <w:r>
        <w:rPr>
          <w:sz w:val="24"/>
        </w:rPr>
        <w:t>份，具有同等法律效力，甲方执三份，乙方执</w:t>
      </w:r>
      <w:r>
        <w:rPr>
          <w:sz w:val="21"/>
          <w:u w:val="single"/>
        </w:rPr>
        <w:t xml:space="preserve">   </w:t>
      </w:r>
      <w:r>
        <w:rPr>
          <w:sz w:val="24"/>
        </w:rPr>
        <w:t>份。合同自签字之日起即时生效。</w:t>
      </w:r>
    </w:p>
    <w:p>
      <w:pPr>
        <w:ind w:firstLine="240"/>
        <w:jc w:val="both"/>
      </w:pPr>
      <w:r>
        <w:rPr>
          <w:sz w:val="24"/>
        </w:rPr>
        <w:t>15.2下列文件是本合同的一部分，并与本合同一起阅读和解释</w:t>
      </w:r>
    </w:p>
    <w:p>
      <w:pPr>
        <w:ind w:firstLine="480"/>
        <w:jc w:val="both"/>
      </w:pPr>
      <w:r>
        <w:rPr>
          <w:sz w:val="24"/>
        </w:rPr>
        <w:t>15.2.1 中标人提交的投标函和报价一览表；</w:t>
      </w:r>
    </w:p>
    <w:p>
      <w:pPr>
        <w:ind w:firstLine="480"/>
        <w:jc w:val="both"/>
      </w:pPr>
      <w:r>
        <w:rPr>
          <w:sz w:val="24"/>
        </w:rPr>
        <w:t>15.2.2 资格声明函；</w:t>
      </w:r>
    </w:p>
    <w:p>
      <w:pPr>
        <w:ind w:firstLine="480"/>
        <w:jc w:val="both"/>
      </w:pPr>
      <w:r>
        <w:rPr>
          <w:sz w:val="24"/>
        </w:rPr>
        <w:t>15.2.3 中标通知书；</w:t>
      </w:r>
    </w:p>
    <w:p>
      <w:pPr>
        <w:ind w:firstLine="480"/>
        <w:jc w:val="both"/>
      </w:pPr>
      <w:r>
        <w:rPr>
          <w:sz w:val="24"/>
        </w:rPr>
        <w:t>15.2.4 其他相关投标文件。</w:t>
      </w:r>
    </w:p>
    <w:p>
      <w:pPr>
        <w:ind w:firstLine="240"/>
        <w:jc w:val="both"/>
      </w:pPr>
      <w:r>
        <w:rPr>
          <w:sz w:val="24"/>
        </w:rPr>
        <w:t>15.3 本合同未尽事宜，由双方协商处理。</w:t>
      </w:r>
    </w:p>
    <w:p>
      <w:pPr>
        <w:ind w:firstLine="120"/>
        <w:jc w:val="both"/>
      </w:pPr>
    </w:p>
    <w:p>
      <w:pPr>
        <w:ind w:firstLine="240"/>
        <w:jc w:val="both"/>
      </w:pPr>
      <w:r>
        <w:rPr>
          <w:color w:val="000000"/>
          <w:sz w:val="24"/>
        </w:rPr>
        <w:t>甲方：</w:t>
      </w:r>
      <w:r>
        <w:rPr>
          <w:color w:val="000000"/>
          <w:sz w:val="24"/>
          <w:u w:val="single"/>
        </w:rPr>
        <w:t xml:space="preserve"> </w:t>
      </w:r>
      <w:r>
        <w:rPr>
          <w:color w:val="000000"/>
          <w:sz w:val="24"/>
          <w:u w:val="single"/>
        </w:rPr>
        <w:t>广东省广州生态环境监测中心站</w:t>
      </w:r>
      <w:r>
        <w:rPr>
          <w:color w:val="000000"/>
          <w:sz w:val="24"/>
          <w:u w:val="single"/>
        </w:rPr>
        <w:t xml:space="preserve"> </w:t>
      </w:r>
      <w:r>
        <w:rPr>
          <w:color w:val="000000"/>
          <w:sz w:val="24"/>
        </w:rPr>
        <w:t>（盖章）</w:t>
      </w:r>
      <w:r>
        <w:rPr>
          <w:color w:val="000000"/>
          <w:sz w:val="24"/>
        </w:rPr>
        <w:t xml:space="preserve">               </w:t>
      </w:r>
    </w:p>
    <w:p>
      <w:pPr>
        <w:jc w:val="both"/>
      </w:pPr>
      <w:r>
        <w:rPr>
          <w:color w:val="000000"/>
          <w:sz w:val="24"/>
        </w:rPr>
        <w:t xml:space="preserve">  </w:t>
      </w:r>
      <w:r>
        <w:rPr>
          <w:color w:val="000000"/>
          <w:sz w:val="24"/>
        </w:rPr>
        <w:t>法定代表人／授权代表（签字）：</w:t>
      </w:r>
    </w:p>
    <w:p>
      <w:pPr>
        <w:jc w:val="both"/>
      </w:pPr>
      <w:r>
        <w:rPr>
          <w:color w:val="000000"/>
          <w:sz w:val="24"/>
        </w:rPr>
        <w:t xml:space="preserve">  </w:t>
      </w:r>
      <w:r>
        <w:rPr>
          <w:color w:val="000000"/>
          <w:sz w:val="24"/>
        </w:rPr>
        <w:t>项目联系人：</w:t>
      </w:r>
    </w:p>
    <w:p>
      <w:pPr>
        <w:ind w:firstLine="240"/>
        <w:jc w:val="both"/>
      </w:pPr>
      <w:r>
        <w:rPr>
          <w:color w:val="000000"/>
          <w:sz w:val="24"/>
        </w:rPr>
        <w:t>地址：广东省广州市番禺区小谷围大学城中心南大街</w:t>
      </w:r>
      <w:r>
        <w:rPr>
          <w:color w:val="000000"/>
          <w:sz w:val="24"/>
        </w:rPr>
        <w:t>19号</w:t>
      </w:r>
    </w:p>
    <w:p>
      <w:pPr>
        <w:jc w:val="both"/>
      </w:pPr>
      <w:r>
        <w:rPr>
          <w:color w:val="000000"/>
          <w:sz w:val="24"/>
        </w:rPr>
        <w:t xml:space="preserve">  </w:t>
      </w:r>
      <w:r>
        <w:rPr>
          <w:color w:val="000000"/>
          <w:sz w:val="24"/>
        </w:rPr>
        <w:t>电话：</w:t>
      </w:r>
      <w:r>
        <w:rPr>
          <w:color w:val="000000"/>
          <w:sz w:val="24"/>
        </w:rPr>
        <w:t>020-32662113</w:t>
      </w:r>
    </w:p>
    <w:p>
      <w:pPr>
        <w:jc w:val="both"/>
      </w:pPr>
    </w:p>
    <w:p>
      <w:pPr>
        <w:jc w:val="both"/>
      </w:pPr>
      <w:r>
        <w:rPr>
          <w:sz w:val="21"/>
        </w:rPr>
        <w:t xml:space="preserve">                                               </w:t>
      </w:r>
    </w:p>
    <w:p>
      <w:pPr>
        <w:jc w:val="both"/>
      </w:pPr>
      <w:r>
        <w:rPr>
          <w:color w:val="000000"/>
          <w:sz w:val="24"/>
        </w:rPr>
        <w:t xml:space="preserve">  </w:t>
      </w:r>
      <w:r>
        <w:rPr>
          <w:color w:val="000000"/>
          <w:sz w:val="24"/>
        </w:rPr>
        <w:t>乙方：</w:t>
      </w:r>
      <w:r>
        <w:rPr>
          <w:sz w:val="21"/>
          <w:u w:val="single"/>
        </w:rPr>
        <w:t xml:space="preserve">                             </w:t>
      </w:r>
      <w:r>
        <w:rPr>
          <w:color w:val="000000"/>
          <w:sz w:val="24"/>
        </w:rPr>
        <w:t>（盖章）</w:t>
      </w:r>
      <w:r>
        <w:rPr>
          <w:color w:val="000000"/>
          <w:sz w:val="24"/>
        </w:rPr>
        <w:t xml:space="preserve">               </w:t>
      </w:r>
    </w:p>
    <w:p>
      <w:pPr>
        <w:jc w:val="both"/>
      </w:pPr>
      <w:r>
        <w:rPr>
          <w:color w:val="000000"/>
          <w:sz w:val="24"/>
        </w:rPr>
        <w:t xml:space="preserve">  </w:t>
      </w:r>
      <w:r>
        <w:rPr>
          <w:color w:val="000000"/>
          <w:sz w:val="24"/>
        </w:rPr>
        <w:t>法定代表人／授权代表（签字）：　</w:t>
      </w:r>
    </w:p>
    <w:p>
      <w:pPr>
        <w:jc w:val="both"/>
      </w:pPr>
      <w:r>
        <w:rPr>
          <w:color w:val="000000"/>
          <w:sz w:val="24"/>
        </w:rPr>
        <w:t xml:space="preserve">  </w:t>
      </w:r>
      <w:r>
        <w:rPr>
          <w:color w:val="000000"/>
          <w:sz w:val="24"/>
        </w:rPr>
        <w:t>项目联系人：</w:t>
      </w:r>
    </w:p>
    <w:p>
      <w:pPr>
        <w:ind w:firstLine="240"/>
        <w:jc w:val="both"/>
      </w:pPr>
      <w:r>
        <w:rPr>
          <w:color w:val="000000"/>
          <w:sz w:val="24"/>
        </w:rPr>
        <w:t>地址：</w:t>
      </w:r>
    </w:p>
    <w:p>
      <w:pPr>
        <w:jc w:val="both"/>
      </w:pPr>
      <w:r>
        <w:rPr>
          <w:color w:val="000000"/>
          <w:sz w:val="24"/>
        </w:rPr>
        <w:t xml:space="preserve">  </w:t>
      </w:r>
      <w:r>
        <w:rPr>
          <w:color w:val="000000"/>
          <w:sz w:val="24"/>
        </w:rPr>
        <w:t>电话：</w:t>
      </w:r>
    </w:p>
    <w:p>
      <w:pPr>
        <w:jc w:val="both"/>
      </w:pPr>
      <w:r>
        <w:rPr>
          <w:color w:val="000000"/>
          <w:sz w:val="24"/>
        </w:rPr>
        <w:t xml:space="preserve">  </w:t>
      </w:r>
      <w:r>
        <w:rPr>
          <w:color w:val="000000"/>
          <w:sz w:val="24"/>
        </w:rPr>
        <w:t>传真：</w:t>
      </w:r>
    </w:p>
    <w:p>
      <w:pPr>
        <w:jc w:val="both"/>
      </w:pPr>
      <w:r>
        <w:rPr>
          <w:sz w:val="24"/>
        </w:rPr>
        <w:t xml:space="preserve">  </w:t>
      </w:r>
      <w:r>
        <w:rPr>
          <w:sz w:val="24"/>
        </w:rPr>
        <w:t>开户名称：</w:t>
      </w:r>
    </w:p>
    <w:p>
      <w:pPr>
        <w:jc w:val="both"/>
      </w:pPr>
      <w:r>
        <w:rPr>
          <w:sz w:val="24"/>
        </w:rPr>
        <w:t xml:space="preserve">  </w:t>
      </w:r>
      <w:r>
        <w:rPr>
          <w:sz w:val="24"/>
        </w:rPr>
        <w:t>帐号：</w:t>
      </w:r>
      <w:r>
        <w:rPr>
          <w:sz w:val="24"/>
        </w:rPr>
        <w:t xml:space="preserve">   </w:t>
      </w:r>
    </w:p>
    <w:p>
      <w:pPr>
        <w:jc w:val="both"/>
      </w:pPr>
      <w:r>
        <w:rPr>
          <w:sz w:val="24"/>
        </w:rPr>
        <w:t xml:space="preserve">  </w:t>
      </w:r>
      <w:r>
        <w:rPr>
          <w:sz w:val="24"/>
        </w:rPr>
        <w:t>开户银行：</w:t>
      </w:r>
    </w:p>
    <w:p>
      <w:pPr>
        <w:jc w:val="both"/>
      </w:pPr>
      <w:r>
        <w:rPr>
          <w:sz w:val="21"/>
        </w:rPr>
        <w:t xml:space="preserve">  </w:t>
      </w:r>
      <w:r>
        <w:rPr>
          <w:color w:val="000000"/>
          <w:sz w:val="24"/>
        </w:rPr>
        <w:t>税务登记证号：</w:t>
      </w:r>
      <w:r>
        <w:rPr>
          <w:sz w:val="21"/>
        </w:rPr>
        <w:t xml:space="preserve">                         </w:t>
      </w:r>
    </w:p>
    <w:p>
      <w:pPr>
        <w:jc w:val="both"/>
      </w:pPr>
    </w:p>
    <w:p>
      <w:pPr>
        <w:jc w:val="both"/>
      </w:pPr>
    </w:p>
    <w:p/>
    <w:p/>
    <w:p>
      <w:r>
        <w:rPr/>
        <w:t xml:space="preserve"> </w:t>
      </w:r>
    </w:p>
    <w:p>
      <w:pPr>
        <w:jc w:val="both"/>
      </w:pPr>
      <w:r>
        <w:rPr>
          <w:b/>
          <w:sz w:val="24"/>
        </w:rPr>
        <w:t>合同附件：</w:t>
      </w:r>
    </w:p>
    <w:p>
      <w:pPr>
        <w:jc w:val="both"/>
      </w:pPr>
      <w:r>
        <w:rPr>
          <w:sz w:val="24"/>
        </w:rPr>
        <w:t>1、企业法人营业执照</w:t>
      </w:r>
    </w:p>
    <w:p>
      <w:pPr>
        <w:jc w:val="both"/>
      </w:pPr>
      <w:r>
        <w:rPr>
          <w:sz w:val="24"/>
        </w:rPr>
        <w:t>2、设备配置清单</w:t>
      </w:r>
    </w:p>
    <w:p>
      <w:pPr>
        <w:jc w:val="both"/>
      </w:pPr>
      <w:r>
        <w:rPr>
          <w:sz w:val="24"/>
        </w:rPr>
        <w:t>3、售后服务承诺</w:t>
      </w:r>
    </w:p>
    <w:p>
      <w:pPr>
        <w:jc w:val="both"/>
      </w:pPr>
      <w:r>
        <w:rPr>
          <w:sz w:val="24"/>
        </w:rPr>
        <w:t>4、廉洁自律承诺书</w:t>
      </w:r>
    </w:p>
    <w:p>
      <w:pPr>
        <w:jc w:val="both"/>
      </w:pPr>
    </w:p>
    <w:p>
      <w:pPr>
        <w:jc w:val="both"/>
      </w:pPr>
      <w:r>
        <w:rPr>
          <w:sz w:val="24"/>
        </w:rPr>
        <w:t>……</w:t>
      </w:r>
    </w:p>
    <w:p>
      <w:pPr>
        <w:jc w:val="both"/>
      </w:pPr>
    </w:p>
    <w:p>
      <w:pPr>
        <w:jc w:val="both"/>
      </w:pPr>
      <w:r>
        <w:rPr>
          <w:sz w:val="28"/>
        </w:rPr>
        <w:t>附件</w:t>
      </w:r>
      <w:r>
        <w:rPr>
          <w:sz w:val="28"/>
        </w:rPr>
        <w:t>4：</w:t>
      </w:r>
    </w:p>
    <w:p>
      <w:pPr>
        <w:jc w:val="center"/>
      </w:pPr>
      <w:r>
        <w:rPr>
          <w:b/>
          <w:sz w:val="36"/>
        </w:rPr>
        <w:t>廉洁自律承诺书</w:t>
      </w:r>
    </w:p>
    <w:p>
      <w:pPr>
        <w:jc w:val="left"/>
      </w:pPr>
    </w:p>
    <w:p>
      <w:pPr>
        <w:jc w:val="left"/>
      </w:pPr>
      <w:r>
        <w:rPr>
          <w:sz w:val="24"/>
        </w:rPr>
        <w:t>本公司承诺：</w:t>
      </w:r>
    </w:p>
    <w:p>
      <w:pPr>
        <w:ind w:firstLine="480"/>
        <w:jc w:val="left"/>
      </w:pPr>
      <w:r>
        <w:rPr>
          <w:sz w:val="24"/>
        </w:rPr>
        <w:t>一、严格遵守国家法律法规及行业规范</w:t>
      </w:r>
      <w:r>
        <w:rPr>
          <w:sz w:val="24"/>
        </w:rPr>
        <w:t>，</w:t>
      </w:r>
      <w:r>
        <w:rPr>
          <w:sz w:val="24"/>
        </w:rPr>
        <w:t>依法经营，廉洁从业。</w:t>
      </w:r>
    </w:p>
    <w:p>
      <w:pPr>
        <w:ind w:firstLine="480"/>
        <w:jc w:val="left"/>
      </w:pPr>
      <w:r>
        <w:rPr>
          <w:sz w:val="24"/>
        </w:rPr>
        <w:t>二、不为谋取不正当利益</w:t>
      </w:r>
      <w:r>
        <w:rPr>
          <w:sz w:val="24"/>
        </w:rPr>
        <w:t>，</w:t>
      </w:r>
      <w:r>
        <w:rPr>
          <w:sz w:val="24"/>
        </w:rPr>
        <w:t>给予</w:t>
      </w:r>
      <w:r>
        <w:rPr>
          <w:sz w:val="24"/>
        </w:rPr>
        <w:t>甲方</w:t>
      </w:r>
      <w:r>
        <w:rPr>
          <w:sz w:val="24"/>
        </w:rPr>
        <w:t>相关人员红包、礼品礼金、有价证券、回-扣、购物券、会员卡等财物</w:t>
      </w:r>
      <w:r>
        <w:rPr>
          <w:sz w:val="24"/>
        </w:rPr>
        <w:t>，</w:t>
      </w:r>
      <w:r>
        <w:rPr>
          <w:sz w:val="24"/>
        </w:rPr>
        <w:t>不报销应由其本人及亲属支付的个人费用。</w:t>
      </w:r>
    </w:p>
    <w:p>
      <w:pPr>
        <w:ind w:firstLine="480"/>
        <w:jc w:val="left"/>
      </w:pPr>
      <w:r>
        <w:rPr>
          <w:sz w:val="24"/>
        </w:rPr>
        <w:t>三、不邀请</w:t>
      </w:r>
      <w:r>
        <w:rPr>
          <w:sz w:val="24"/>
        </w:rPr>
        <w:t>甲方</w:t>
      </w:r>
      <w:r>
        <w:rPr>
          <w:sz w:val="24"/>
        </w:rPr>
        <w:t>相关人员及其亲属参加旅游、娱乐、健身、宴请等活动。</w:t>
      </w:r>
    </w:p>
    <w:p>
      <w:pPr>
        <w:ind w:firstLine="480"/>
        <w:jc w:val="left"/>
      </w:pPr>
      <w:r>
        <w:rPr>
          <w:sz w:val="24"/>
        </w:rPr>
        <w:t>四、不通过不当手段</w:t>
      </w:r>
      <w:r>
        <w:rPr>
          <w:sz w:val="24"/>
        </w:rPr>
        <w:t>造成</w:t>
      </w:r>
      <w:r>
        <w:rPr>
          <w:sz w:val="24"/>
        </w:rPr>
        <w:t>可能影响公平竞争的其他情况。</w:t>
      </w:r>
    </w:p>
    <w:p>
      <w:pPr>
        <w:ind w:firstLine="480"/>
        <w:jc w:val="left"/>
      </w:pPr>
      <w:r>
        <w:rPr>
          <w:sz w:val="24"/>
        </w:rPr>
        <w:t>五、不通过</w:t>
      </w:r>
      <w:r>
        <w:rPr>
          <w:sz w:val="24"/>
        </w:rPr>
        <w:t>泄露甲方不公开的信息或秘密</w:t>
      </w:r>
      <w:r>
        <w:rPr>
          <w:sz w:val="24"/>
        </w:rPr>
        <w:t>为公司或者个人谋取利益。</w:t>
      </w:r>
    </w:p>
    <w:p>
      <w:pPr>
        <w:ind w:firstLine="482"/>
        <w:jc w:val="left"/>
      </w:pPr>
      <w:r>
        <w:rPr>
          <w:b/>
          <w:sz w:val="24"/>
        </w:rPr>
        <w:t>若违反上述承诺，本公司将承担相应的法律后果，并无条件承诺三年内不承接</w:t>
      </w:r>
      <w:r>
        <w:rPr>
          <w:b/>
          <w:sz w:val="24"/>
        </w:rPr>
        <w:t>广东省广州生态环境监测中心站</w:t>
      </w:r>
      <w:r>
        <w:rPr>
          <w:b/>
          <w:sz w:val="24"/>
        </w:rPr>
        <w:t>的项目。</w:t>
      </w:r>
    </w:p>
    <w:p>
      <w:pPr>
        <w:ind w:firstLine="480"/>
        <w:jc w:val="left"/>
      </w:pPr>
    </w:p>
    <w:p>
      <w:pPr>
        <w:ind w:firstLine="480"/>
        <w:jc w:val="left"/>
      </w:pPr>
    </w:p>
    <w:p>
      <w:pPr>
        <w:ind w:firstLine="480"/>
        <w:jc w:val="right"/>
      </w:pPr>
      <w:r>
        <w:rPr>
          <w:sz w:val="24"/>
        </w:rPr>
        <w:t>公司名称：</w:t>
      </w:r>
      <w:r>
        <w:rPr>
          <w:sz w:val="24"/>
        </w:rPr>
        <w:t xml:space="preserve">                    </w:t>
      </w:r>
    </w:p>
    <w:p>
      <w:pPr>
        <w:ind w:firstLine="480"/>
        <w:jc w:val="right"/>
      </w:pPr>
      <w:r>
        <w:rPr>
          <w:sz w:val="24"/>
        </w:rPr>
        <w:t xml:space="preserve">   </w:t>
      </w:r>
      <w:r>
        <w:rPr>
          <w:sz w:val="24"/>
        </w:rPr>
        <w:t>（盖章）</w:t>
      </w:r>
      <w:r>
        <w:rPr>
          <w:sz w:val="24"/>
        </w:rPr>
        <w:t xml:space="preserve">           </w:t>
      </w:r>
    </w:p>
    <w:p>
      <w:pPr>
        <w:ind w:firstLine="480"/>
        <w:jc w:val="right"/>
      </w:pPr>
      <w:r>
        <w:rPr>
          <w:sz w:val="24"/>
        </w:rPr>
        <w:t>年</w:t>
      </w:r>
      <w:r>
        <w:rPr>
          <w:sz w:val="24"/>
        </w:rPr>
        <w:t xml:space="preserve">  </w:t>
      </w:r>
      <w:r>
        <w:rPr>
          <w:sz w:val="24"/>
        </w:rPr>
        <w:t>月</w:t>
      </w:r>
      <w:r>
        <w:rPr>
          <w:sz w:val="24"/>
        </w:rPr>
        <w:t xml:space="preserve">  </w:t>
      </w:r>
      <w:r>
        <w:rPr>
          <w:sz w:val="24"/>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440101-2023-13685</w:t>
      </w:r>
    </w:p>
    <w:p>
      <w:pPr>
        <w:jc w:val="center"/>
      </w:pPr>
      <w:r>
        <w:rPr>
          <w:b/>
          <w:sz w:val="24"/>
        </w:rPr>
        <w:t>采购项目编号：</w:t>
      </w:r>
      <w:r>
        <w:rPr>
          <w:b/>
          <w:sz w:val="24"/>
        </w:rPr>
        <w:t>GDPS-2023GDG5001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广东品尚招标有限公司</w:t>
      </w:r>
    </w:p>
    <w:p>
      <w:pPr>
        <w:ind w:firstLine="480"/>
      </w:pPr>
      <w:r>
        <w:rPr/>
        <w:t>你方组织的</w:t>
      </w:r>
      <w:r>
        <w:rPr>
          <w:u w:val="single"/>
        </w:rPr>
        <w:t>“</w:t>
      </w:r>
      <w:r>
        <w:rPr>
          <w:u w:val="single"/>
        </w:rPr>
        <w:t>广州市大气污染源VOCs泄漏监测能力建设项目</w:t>
      </w:r>
      <w:r>
        <w:rPr>
          <w:u w:val="single"/>
        </w:rPr>
        <w:t>”</w:t>
      </w:r>
      <w:r>
        <w:rPr/>
        <w:t>项目的招标[采购项目编号为：</w:t>
      </w:r>
      <w:r>
        <w:rPr>
          <w:u w:val="single"/>
        </w:rPr>
        <w:t>GDPS-2023GDG5001</w:t>
      </w:r>
      <w:r>
        <w:rPr/>
        <w:t>]，我方愿参与投标。</w:t>
      </w:r>
    </w:p>
    <w:p>
      <w:pPr>
        <w:ind w:firstLine="480"/>
      </w:pPr>
      <w:r>
        <w:rPr/>
        <w:t>我方确认收到贵方提供的</w:t>
      </w:r>
      <w:r>
        <w:rPr>
          <w:u w:val="single"/>
        </w:rPr>
        <w:t>“</w:t>
      </w:r>
      <w:r>
        <w:rPr>
          <w:u w:val="single"/>
        </w:rPr>
        <w:t>广州市大气污染源VOCs泄漏监测能力建设项目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广州市大气污染源VOCs泄漏监测能力建设项目</w:t>
      </w:r>
      <w:r>
        <w:rPr/>
        <w:t>”项目采购[采购项目编号为</w:t>
      </w:r>
      <w:r>
        <w:rPr/>
        <w:t>GDPS-2023GDG5001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广东省广州生态环境监测中心站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广东品尚招标有限公司</w:t>
      </w:r>
    </w:p>
    <w:p>
      <w:pPr>
        <w:ind w:firstLine="480"/>
      </w:pPr>
      <w:r>
        <w:rPr/>
        <w:t>如果我方在贵采购代理机构组织的</w:t>
      </w:r>
      <w:r>
        <w:rPr/>
        <w:t>广州市大气污染源VOCs泄漏监测能力建设项目</w:t>
      </w:r>
      <w:r>
        <w:rPr/>
        <w:t>招标中获中标（采购项目编号：</w:t>
      </w:r>
      <w:r>
        <w:rPr/>
        <w:t>GDPS-2023GDG5001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广东品尚招标有限公司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